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1980" w:lineRule="exact"/>
        <w:ind w:left="0" w:right="357"/>
        <w:jc w:val="center"/>
        <w:rPr>
          <w:rFonts w:hint="eastAsia" w:ascii="方正小标宋简体" w:hAnsi="宋体" w:eastAsia="方正小标宋简体" w:cs="方正小标宋简体"/>
          <w:sz w:val="44"/>
          <w:szCs w:val="44"/>
          <w:lang w:val="en-US"/>
        </w:rPr>
      </w:pPr>
    </w:p>
    <w:p>
      <w:pPr>
        <w:keepNext w:val="0"/>
        <w:keepLines w:val="0"/>
        <w:widowControl w:val="0"/>
        <w:suppressLineNumbers w:val="0"/>
        <w:spacing w:before="0" w:beforeAutospacing="0" w:after="0" w:afterAutospacing="0" w:line="1980" w:lineRule="exact"/>
        <w:ind w:left="0" w:right="357"/>
        <w:jc w:val="center"/>
        <w:rPr>
          <w:rFonts w:hint="eastAsia" w:ascii="宋体" w:hAnsi="宋体" w:eastAsia="宋体" w:cs="宋体"/>
          <w:b/>
          <w:bCs w:val="0"/>
          <w:sz w:val="36"/>
          <w:szCs w:val="36"/>
          <w:lang w:val="en-US"/>
        </w:rPr>
      </w:pPr>
      <w:r>
        <w:rPr>
          <w:rFonts w:hint="eastAsia" w:ascii="方正小标宋简体" w:hAnsi="宋体" w:eastAsia="方正小标宋简体" w:cs="方正小标宋简体"/>
          <w:kern w:val="2"/>
          <w:sz w:val="44"/>
          <w:szCs w:val="44"/>
          <w:lang w:val="en-US" w:eastAsia="zh-CN" w:bidi="ar"/>
        </w:rPr>
        <w:pict>
          <v:shape id="_x0000_i1025" o:spt="136" type="#_x0000_t136" style="height:54pt;width:378pt;" fillcolor="#FF0000" filled="t" stroked="t" coordsize="21600,21600">
            <v:path/>
            <v:fill on="t" focussize="0,0"/>
            <v:stroke weight="1.25pt" color="#FF0000"/>
            <v:imagedata o:title=""/>
            <o:lock v:ext="edit"/>
            <v:textpath on="t" fitpath="t" trim="t" xscale="f" string="宜春学院办公室" style="font-family:宋体;font-size:54pt;font-weight:bold;v-text-align:center;"/>
            <w10:wrap type="none"/>
            <w10:anchorlock/>
          </v:shape>
        </w:pict>
      </w:r>
    </w:p>
    <w:p>
      <w:pPr>
        <w:keepNext w:val="0"/>
        <w:keepLines w:val="0"/>
        <w:widowControl w:val="0"/>
        <w:suppressLineNumbers w:val="0"/>
        <w:spacing w:before="0" w:beforeAutospacing="0" w:after="0" w:afterAutospacing="0" w:line="720" w:lineRule="exact"/>
        <w:ind w:left="0" w:right="0"/>
        <w:jc w:val="center"/>
        <w:rPr>
          <w:rFonts w:hint="eastAsia" w:ascii="仿宋_GB2312" w:hAnsi="仿宋_GB2312" w:eastAsia="仿宋_GB2312" w:cs="仿宋_GB2312"/>
          <w:color w:val="00000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仿宋_GB2312" w:hAnsi="宋体" w:eastAsia="仿宋_GB2312" w:cs="仿宋_GB2312"/>
          <w:sz w:val="32"/>
          <w:szCs w:val="32"/>
          <w:lang w:val="en-US"/>
        </w:rPr>
      </w:pPr>
      <w:bookmarkStart w:id="7" w:name="_GoBack"/>
      <w:r>
        <w:rPr>
          <w:rFonts w:hint="eastAsia" w:ascii="仿宋_GB2312" w:hAnsi="宋体" w:eastAsia="仿宋_GB2312" w:cs="仿宋_GB2312"/>
          <w:kern w:val="2"/>
          <w:sz w:val="32"/>
          <w:szCs w:val="32"/>
          <w:lang w:val="en-US" w:eastAsia="zh-CN" w:bidi="ar"/>
        </w:rPr>
        <w:t>宜学院办字</w:t>
      </w:r>
      <w:r>
        <w:rPr>
          <w:rFonts w:hint="eastAsia" w:ascii="仿宋_GB2312" w:hAnsi="宋体" w:eastAsia="仿宋_GB2312" w:cs="宋体"/>
          <w:kern w:val="2"/>
          <w:sz w:val="32"/>
          <w:szCs w:val="32"/>
          <w:lang w:val="en-US" w:eastAsia="zh-CN" w:bidi="ar"/>
        </w:rPr>
        <w:t>〔2021〕7</w:t>
      </w:r>
      <w:r>
        <w:rPr>
          <w:rFonts w:hint="eastAsia" w:ascii="仿宋_GB2312" w:hAnsi="宋体" w:eastAsia="仿宋_GB2312" w:cs="仿宋_GB2312"/>
          <w:kern w:val="2"/>
          <w:sz w:val="32"/>
          <w:szCs w:val="32"/>
          <w:lang w:val="en-US" w:eastAsia="zh-CN" w:bidi="ar"/>
        </w:rPr>
        <w:t>号</w:t>
      </w:r>
      <w:bookmarkEnd w:id="7"/>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color w:val="000000"/>
          <w:sz w:val="32"/>
          <w:szCs w:val="32"/>
          <w:lang w:val="en-US"/>
        </w:rPr>
      </w:pP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161925</wp:posOffset>
                </wp:positionV>
                <wp:extent cx="5615940" cy="9525"/>
                <wp:effectExtent l="0" t="19050" r="7620" b="32385"/>
                <wp:wrapNone/>
                <wp:docPr id="3" name="直线 2"/>
                <wp:cNvGraphicFramePr/>
                <a:graphic xmlns:a="http://schemas.openxmlformats.org/drawingml/2006/main">
                  <a:graphicData uri="http://schemas.microsoft.com/office/word/2010/wordprocessingShape">
                    <wps:wsp>
                      <wps:cNvSpPr/>
                      <wps:spPr>
                        <a:xfrm>
                          <a:off x="0" y="0"/>
                          <a:ext cx="5615940" cy="952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5pt;margin-top:12.75pt;height:0.75pt;width:442.2pt;z-index:251659264;mso-width-relative:page;mso-height-relative:page;" filled="f" stroked="t" coordsize="21600,21600" o:gfxdata="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v4jW2wAAAAgBAAAPAAAAAAAAAAEAIAAA&#10;ACIAAABkcnMvZG93bnJldi54bWxQSwECFAAUAAAACACHTuJA1J3UztABAACRAwAADgAAAAAAAAAB&#10;ACAAAAAqAQAAZHJzL2Uyb0RvYy54bWxQSwUGAAAAAAYABgBZAQAAbAUAAAAA&#10;">
                <v:fill on="f" focussize="0,0"/>
                <v:stroke weight="3pt" color="#FF0000" joinstyle="round"/>
                <v:imagedata o:title=""/>
                <o:lock v:ext="edit" aspectratio="f"/>
              </v:line>
            </w:pict>
          </mc:Fallback>
        </mc:AlternateContent>
      </w:r>
    </w:p>
    <w:p>
      <w:pPr>
        <w:keepNext w:val="0"/>
        <w:keepLines w:val="0"/>
        <w:widowControl w:val="0"/>
        <w:suppressLineNumbers w:val="0"/>
        <w:snapToGrid w:val="0"/>
        <w:spacing w:before="0" w:beforeAutospacing="0" w:after="0" w:afterAutospacing="0" w:line="540" w:lineRule="exact"/>
        <w:ind w:left="0" w:right="0"/>
        <w:jc w:val="center"/>
        <w:rPr>
          <w:rFonts w:hint="eastAsia" w:ascii="宋体" w:hAnsi="宋体" w:eastAsia="宋体" w:cs="宋体"/>
          <w:b/>
          <w:bCs w:val="0"/>
          <w:sz w:val="44"/>
          <w:szCs w:val="44"/>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关于印发《宜春学院一流专业建设管理</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暂行办法》《宜春学院课程重修</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管理办法》等文件的通知</w:t>
      </w:r>
    </w:p>
    <w:p>
      <w:pPr>
        <w:keepNext w:val="0"/>
        <w:keepLines w:val="0"/>
        <w:widowControl w:val="0"/>
        <w:suppressLineNumbers w:val="0"/>
        <w:spacing w:before="0" w:beforeAutospacing="0" w:after="0" w:afterAutospacing="0" w:line="360" w:lineRule="auto"/>
        <w:ind w:left="0" w:right="0"/>
        <w:jc w:val="both"/>
        <w:rPr>
          <w:rFonts w:hint="eastAsia" w:ascii="楷体_GB2312" w:hAnsi="楷体" w:eastAsia="楷体_GB2312" w:cs="宋体"/>
          <w:bCs/>
          <w:sz w:val="32"/>
          <w:szCs w:val="32"/>
          <w:lang w:val="en-US"/>
        </w:rPr>
      </w:pPr>
    </w:p>
    <w:p>
      <w:pPr>
        <w:keepNext w:val="0"/>
        <w:keepLines w:val="0"/>
        <w:widowControl w:val="0"/>
        <w:suppressLineNumbers w:val="0"/>
        <w:spacing w:before="0" w:beforeAutospacing="0" w:after="0" w:afterAutospacing="0" w:line="700" w:lineRule="exact"/>
        <w:ind w:left="0" w:right="0"/>
        <w:jc w:val="both"/>
        <w:rPr>
          <w:rFonts w:hint="eastAsia" w:ascii="仿宋_GB2312" w:hAnsi="楷体" w:eastAsia="仿宋_GB2312" w:cs="宋体"/>
          <w:bCs/>
          <w:sz w:val="32"/>
          <w:szCs w:val="32"/>
          <w:lang w:val="en-US"/>
        </w:rPr>
      </w:pPr>
      <w:r>
        <w:rPr>
          <w:rFonts w:hint="eastAsia" w:ascii="仿宋_GB2312" w:hAnsi="楷体" w:eastAsia="仿宋_GB2312" w:cs="宋体"/>
          <w:bCs/>
          <w:kern w:val="2"/>
          <w:sz w:val="32"/>
          <w:szCs w:val="32"/>
          <w:lang w:val="en-US" w:eastAsia="zh-CN" w:bidi="ar"/>
        </w:rPr>
        <w:t>各教学院、校属各部门（单位）：</w:t>
      </w:r>
    </w:p>
    <w:p>
      <w:pPr>
        <w:keepNext w:val="0"/>
        <w:keepLines w:val="0"/>
        <w:widowControl w:val="0"/>
        <w:suppressLineNumbers w:val="0"/>
        <w:spacing w:before="0" w:beforeAutospacing="0" w:after="0" w:afterAutospacing="0" w:line="700" w:lineRule="exact"/>
        <w:ind w:left="0" w:right="0" w:firstLine="640" w:firstLineChars="200"/>
        <w:jc w:val="both"/>
        <w:rPr>
          <w:rFonts w:hint="eastAsia" w:ascii="仿宋_GB2312" w:hAnsi="楷体" w:eastAsia="仿宋_GB2312" w:cs="宋体"/>
          <w:bCs/>
          <w:sz w:val="32"/>
          <w:szCs w:val="32"/>
          <w:lang w:val="en-US"/>
        </w:rPr>
      </w:pPr>
      <w:r>
        <w:rPr>
          <w:rFonts w:hint="eastAsia" w:ascii="仿宋_GB2312" w:hAnsi="楷体" w:eastAsia="仿宋_GB2312" w:cs="宋体"/>
          <w:bCs/>
          <w:kern w:val="2"/>
          <w:sz w:val="32"/>
          <w:szCs w:val="32"/>
          <w:lang w:val="en-US" w:eastAsia="zh-CN" w:bidi="ar"/>
        </w:rPr>
        <w:t>经学校2020年第25次教学专题校长办公会研究同意，现将《宜春学院一流专业建设管理暂行办法》《宜春学院课程重修管理办法》《宜春学院金课建设与管理暂行办法》《宜春学院普通本科生学分制管理办法》《宜春学院全日制本科生修读辅修专业学士学位及辅修专业管理办法》《宜春学院普通本科毕业生学士学位授予工作实施细则》《宜春学院教学管理先进个人评选办法》《宜春学院教育实习评优暂行办法》《宜春学院大学生能力建设项目管理办法》9个文件印发给你们，请遵照执行。</w:t>
      </w:r>
    </w:p>
    <w:p>
      <w:pPr>
        <w:keepNext w:val="0"/>
        <w:keepLines w:val="0"/>
        <w:widowControl w:val="0"/>
        <w:suppressLineNumbers w:val="0"/>
        <w:spacing w:before="0" w:beforeAutospacing="0" w:after="0" w:afterAutospacing="0" w:line="700" w:lineRule="exact"/>
        <w:ind w:left="0" w:right="0"/>
        <w:jc w:val="center"/>
        <w:rPr>
          <w:rFonts w:hint="eastAsia" w:ascii="仿宋_GB2312" w:hAnsi="宋体" w:eastAsia="仿宋_GB2312" w:cs="宋体"/>
          <w:b/>
          <w:sz w:val="44"/>
          <w:szCs w:val="44"/>
          <w:lang w:val="en-US"/>
        </w:rPr>
      </w:pPr>
    </w:p>
    <w:p>
      <w:pPr>
        <w:keepNext w:val="0"/>
        <w:keepLines w:val="0"/>
        <w:widowControl w:val="0"/>
        <w:suppressLineNumbers w:val="0"/>
        <w:spacing w:before="0" w:beforeAutospacing="0" w:after="0" w:afterAutospacing="0" w:line="360" w:lineRule="auto"/>
        <w:ind w:left="0" w:right="0"/>
        <w:jc w:val="center"/>
        <w:rPr>
          <w:rFonts w:hint="eastAsia" w:ascii="仿宋_GB2312" w:hAnsi="宋体" w:eastAsia="仿宋_GB2312" w:cs="宋体"/>
          <w:b/>
          <w:sz w:val="44"/>
          <w:szCs w:val="44"/>
          <w:lang w:val="en-US"/>
        </w:rPr>
      </w:pPr>
    </w:p>
    <w:p>
      <w:pPr>
        <w:keepNext w:val="0"/>
        <w:keepLines w:val="0"/>
        <w:widowControl w:val="0"/>
        <w:suppressLineNumbers w:val="0"/>
        <w:spacing w:before="0" w:beforeAutospacing="0" w:after="0" w:afterAutospacing="0" w:line="360" w:lineRule="auto"/>
        <w:ind w:left="0" w:right="0" w:firstLine="640" w:firstLineChars="200"/>
        <w:jc w:val="center"/>
        <w:rPr>
          <w:rFonts w:hint="eastAsia" w:ascii="仿宋_GB2312" w:hAnsi="楷体" w:eastAsia="仿宋_GB2312" w:cs="宋体"/>
          <w:bCs/>
          <w:sz w:val="32"/>
          <w:szCs w:val="32"/>
          <w:lang w:val="en-US"/>
        </w:rPr>
      </w:pPr>
      <w:r>
        <w:rPr>
          <w:rFonts w:hint="eastAsia" w:ascii="仿宋_GB2312" w:hAnsi="楷体" w:eastAsia="仿宋_GB2312" w:cs="宋体"/>
          <w:bCs/>
          <w:kern w:val="2"/>
          <w:sz w:val="32"/>
          <w:szCs w:val="32"/>
          <w:lang w:val="en-US" w:eastAsia="zh-CN" w:bidi="ar"/>
        </w:rPr>
        <w:t xml:space="preserve">                         宜春学院办公室</w:t>
      </w:r>
    </w:p>
    <w:p>
      <w:pPr>
        <w:keepNext w:val="0"/>
        <w:keepLines w:val="0"/>
        <w:widowControl w:val="0"/>
        <w:suppressLineNumbers w:val="0"/>
        <w:spacing w:before="0" w:beforeAutospacing="0" w:after="0" w:afterAutospacing="0" w:line="360" w:lineRule="auto"/>
        <w:ind w:left="0" w:right="0" w:firstLine="5280" w:firstLineChars="1650"/>
        <w:jc w:val="both"/>
        <w:rPr>
          <w:rFonts w:hint="eastAsia" w:ascii="仿宋_GB2312" w:hAnsi="宋体" w:eastAsia="仿宋_GB2312" w:cs="宋体"/>
          <w:b/>
          <w:sz w:val="44"/>
          <w:szCs w:val="44"/>
          <w:lang w:val="en-US"/>
        </w:rPr>
      </w:pPr>
      <w:r>
        <w:rPr>
          <w:rFonts w:hint="eastAsia" w:ascii="仿宋_GB2312" w:hAnsi="楷体" w:eastAsia="仿宋_GB2312" w:cs="宋体"/>
          <w:bCs/>
          <w:kern w:val="2"/>
          <w:sz w:val="32"/>
          <w:szCs w:val="32"/>
          <w:lang w:val="en-US" w:eastAsia="zh-CN" w:bidi="ar"/>
        </w:rPr>
        <w:t>2021年3月11日</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br w:type="page"/>
      </w:r>
      <w:r>
        <w:rPr>
          <w:rFonts w:hint="eastAsia" w:ascii="宋体" w:hAnsi="宋体" w:eastAsia="宋体" w:cs="宋体"/>
          <w:b/>
          <w:kern w:val="2"/>
          <w:sz w:val="44"/>
          <w:szCs w:val="44"/>
          <w:lang w:val="en-US" w:eastAsia="zh-CN" w:bidi="ar"/>
        </w:rPr>
        <w:t>宜春学院一流专业建设管理暂行办法</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仿宋_GB2312"/>
          <w:b/>
          <w:sz w:val="30"/>
          <w:szCs w:val="30"/>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sz w:val="30"/>
          <w:szCs w:val="30"/>
          <w:shd w:val="clear" w:fill="FFFFFF"/>
          <w:lang w:val="en-US"/>
        </w:rPr>
      </w:pPr>
      <w:r>
        <w:rPr>
          <w:rFonts w:hint="eastAsia" w:ascii="宋体" w:hAnsi="宋体" w:eastAsia="宋体" w:cs="仿宋_GB2312"/>
          <w:b/>
          <w:kern w:val="2"/>
          <w:sz w:val="30"/>
          <w:szCs w:val="30"/>
          <w:lang w:val="en-US" w:eastAsia="zh-CN" w:bidi="ar"/>
        </w:rPr>
        <w:t>第一章  总  则</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Arial"/>
          <w:sz w:val="30"/>
          <w:szCs w:val="30"/>
          <w:shd w:val="clear" w:fill="FFFFFF"/>
          <w:lang w:val="en-US"/>
        </w:rPr>
      </w:pPr>
      <w:r>
        <w:rPr>
          <w:rFonts w:hint="eastAsia" w:ascii="仿宋_GB2312" w:hAnsi="仿宋" w:eastAsia="仿宋_GB2312" w:cs="仿宋_GB2312"/>
          <w:b/>
          <w:bCs w:val="0"/>
          <w:kern w:val="2"/>
          <w:sz w:val="30"/>
          <w:szCs w:val="30"/>
          <w:lang w:val="en-US" w:eastAsia="zh-CN" w:bidi="ar"/>
        </w:rPr>
        <w:t xml:space="preserve">第一条 </w:t>
      </w:r>
      <w:r>
        <w:rPr>
          <w:rFonts w:hint="eastAsia" w:ascii="仿宋_GB2312" w:hAnsi="仿宋" w:eastAsia="仿宋_GB2312" w:cs="Arial"/>
          <w:kern w:val="2"/>
          <w:sz w:val="30"/>
          <w:szCs w:val="30"/>
          <w:shd w:val="clear" w:fill="FFFFFF"/>
          <w:lang w:val="en-US" w:eastAsia="zh-CN" w:bidi="ar"/>
        </w:rPr>
        <w:t>为对接国家和省教育厅“双万计划”，加强专业建设，明晰专业建设重点，提高专业建设质量和教育教学水平，打造一流本科教育，培养一流本科人才，根据《教育部办公厅关于实施一流本科专业建设“双万计划”的通知》（教高厅函〔2019〕18号）、《江西省有特色高水平大学和一流学科专业建设实施方案》（赣府字〔2017〕29号）以及《宜春学院一流学科专业建设实施方案》（宜学院字〔2017〕145号）等文件精神，结合学校实际，制定本办法。</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_GB2312"/>
          <w:b/>
          <w:bCs w:val="0"/>
          <w:sz w:val="30"/>
          <w:szCs w:val="30"/>
          <w:lang w:val="en-US"/>
        </w:rPr>
      </w:pPr>
      <w:r>
        <w:rPr>
          <w:rFonts w:hint="eastAsia" w:ascii="仿宋_GB2312" w:hAnsi="仿宋" w:eastAsia="仿宋_GB2312" w:cs="仿宋_GB2312"/>
          <w:b/>
          <w:bCs w:val="0"/>
          <w:kern w:val="2"/>
          <w:sz w:val="30"/>
          <w:szCs w:val="30"/>
          <w:lang w:val="en-US" w:eastAsia="zh-CN" w:bidi="ar"/>
        </w:rPr>
        <w:t xml:space="preserve">第二条 </w:t>
      </w:r>
      <w:r>
        <w:rPr>
          <w:rFonts w:hint="eastAsia" w:ascii="仿宋_GB2312" w:hAnsi="仿宋" w:eastAsia="仿宋_GB2312" w:cs="仿宋_GB2312"/>
          <w:kern w:val="2"/>
          <w:sz w:val="30"/>
          <w:szCs w:val="30"/>
          <w:lang w:val="en-US" w:eastAsia="zh-CN" w:bidi="ar"/>
        </w:rPr>
        <w:t>学校一流专业建设以争创一流为目标，以质量为目的，以绩效为杠杆，以改革为动力，聚焦建设任务和改革任务，主要在创新人才培养、师资队伍建设、提升自主创新和社会服务能力、文化传承创新、国际合作交流等方面实施重点建设。</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第三条 </w:t>
      </w:r>
      <w:r>
        <w:rPr>
          <w:rFonts w:hint="eastAsia" w:ascii="仿宋_GB2312" w:hAnsi="仿宋" w:eastAsia="仿宋_GB2312" w:cs="仿宋_GB2312"/>
          <w:kern w:val="2"/>
          <w:sz w:val="30"/>
          <w:szCs w:val="30"/>
          <w:lang w:val="en-US" w:eastAsia="zh-CN" w:bidi="ar"/>
        </w:rPr>
        <w:t>学校一流专业建设遵循以下原则：</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1.统筹推进原则。兼顾长期目标和近期目标、学校目标和学科目标，加强顶层设计，统筹建设资源，凝聚建设力量，整体协同推进。</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2.目标驱动原则。坚持面向国家战略需求，强化一流导向，以目标引领方向，以任务集成要素，以改革激发活力；强化建设主体责任，推动建设任务和改革任务的落实。</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3.绩效导向原则。着力营造公平、公正、公开的专业建设环境，构建和完善评估体系，健全考核评价机制，注重建设绩效，强化绩效激励。</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4.动态调整原则。加强过程管理，实施动态监控，根据建设层级和建设目标、任务、绩效等因素，不断优化资源配置，动态调整支持力度，提升建设成效。</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5.分类建设原则。注重提升专业的整体实力、办学基础、社会需求及其在推动区域经济社会发展的重要作用。按照优势专业、特色专业、培育专业三个建设层次展开。</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第二章  建设目标</w:t>
      </w:r>
    </w:p>
    <w:p>
      <w:pPr>
        <w:pStyle w:val="5"/>
        <w:widowControl/>
        <w:spacing w:line="360" w:lineRule="auto"/>
        <w:ind w:left="0" w:firstLine="602" w:firstLineChars="200"/>
        <w:rPr>
          <w:rFonts w:hint="eastAsia" w:ascii="仿宋_GB2312" w:hAnsi="仿宋" w:eastAsia="仿宋_GB2312" w:cs="宋体"/>
          <w:sz w:val="30"/>
          <w:szCs w:val="30"/>
          <w:lang w:val="en-US"/>
        </w:rPr>
      </w:pPr>
      <w:r>
        <w:rPr>
          <w:rFonts w:hint="eastAsia" w:ascii="仿宋_GB2312" w:hAnsi="仿宋" w:eastAsia="仿宋_GB2312" w:cs="仿宋_GB2312"/>
          <w:b/>
          <w:sz w:val="30"/>
          <w:szCs w:val="30"/>
          <w:lang w:eastAsia="zh-CN"/>
        </w:rPr>
        <w:t xml:space="preserve">第四条 </w:t>
      </w:r>
      <w:r>
        <w:rPr>
          <w:rFonts w:hint="eastAsia" w:ascii="仿宋_GB2312" w:hAnsi="仿宋" w:eastAsia="仿宋_GB2312" w:cs="仿宋_GB2312"/>
          <w:sz w:val="30"/>
          <w:szCs w:val="30"/>
          <w:lang w:eastAsia="zh-CN"/>
        </w:rPr>
        <w:t>坚持以区域经济社会发展为主要服务方向，以应用型人才培养为中心，以优势专业为基础，以特色专业为重点，以国家和地方经济建设对人才的需求为导向，坚持“立足地方，依托行业，服务区域，面向全国”的办学思想，发挥学校在长期办学中积淀的专业优势和特色，促进专业建设科学、协调、可持续发展。</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第三章  组织与实施</w:t>
      </w:r>
    </w:p>
    <w:p>
      <w:pPr>
        <w:pStyle w:val="5"/>
        <w:widowControl/>
        <w:spacing w:line="360" w:lineRule="auto"/>
        <w:ind w:left="0" w:firstLine="602" w:firstLineChars="200"/>
        <w:rPr>
          <w:rFonts w:hint="eastAsia" w:ascii="仿宋_GB2312" w:hAnsi="仿宋" w:eastAsia="仿宋_GB2312" w:cs="仿宋_GB2312"/>
          <w:bCs/>
          <w:sz w:val="30"/>
          <w:szCs w:val="30"/>
          <w:lang w:val="en-US"/>
        </w:rPr>
      </w:pPr>
      <w:r>
        <w:rPr>
          <w:rFonts w:hint="eastAsia" w:ascii="仿宋_GB2312" w:hAnsi="仿宋" w:eastAsia="仿宋_GB2312" w:cs="仿宋_GB2312"/>
          <w:b/>
          <w:sz w:val="30"/>
          <w:szCs w:val="30"/>
          <w:lang w:eastAsia="zh-CN"/>
        </w:rPr>
        <w:t>第五条</w:t>
      </w:r>
      <w:r>
        <w:rPr>
          <w:rFonts w:hint="eastAsia" w:ascii="仿宋_GB2312" w:hAnsi="仿宋" w:eastAsia="仿宋_GB2312" w:cs="仿宋_GB2312"/>
          <w:bCs/>
          <w:sz w:val="30"/>
          <w:szCs w:val="30"/>
          <w:lang w:eastAsia="zh-CN"/>
        </w:rPr>
        <w:t xml:space="preserve"> 一流专业建设总体上按照“先行培育，凝练特色，凸显优势”的思路，本着“有所为，有所不为”的原则，循序推进，分优势专业、特色专业、培育专业三个层次建设。</w:t>
      </w:r>
    </w:p>
    <w:p>
      <w:pPr>
        <w:pStyle w:val="5"/>
        <w:widowControl/>
        <w:spacing w:line="360" w:lineRule="auto"/>
        <w:ind w:left="0" w:firstLine="600" w:firstLineChars="200"/>
        <w:rPr>
          <w:rFonts w:hint="eastAsia" w:ascii="仿宋_GB2312" w:hAnsi="仿宋" w:eastAsia="仿宋_GB2312" w:cs="仿宋_GB2312"/>
          <w:bCs/>
          <w:sz w:val="30"/>
          <w:szCs w:val="30"/>
          <w:lang w:val="en-US"/>
        </w:rPr>
      </w:pPr>
      <w:r>
        <w:rPr>
          <w:rFonts w:hint="eastAsia" w:ascii="仿宋_GB2312" w:hAnsi="仿宋" w:eastAsia="仿宋_GB2312" w:cs="仿宋_GB2312"/>
          <w:bCs/>
          <w:sz w:val="30"/>
          <w:szCs w:val="30"/>
          <w:lang w:val="en-US"/>
        </w:rPr>
        <w:t>1.</w:t>
      </w:r>
      <w:r>
        <w:rPr>
          <w:rFonts w:hint="eastAsia" w:ascii="仿宋_GB2312" w:hAnsi="仿宋" w:eastAsia="仿宋_GB2312" w:cs="仿宋_GB2312"/>
          <w:bCs/>
          <w:sz w:val="30"/>
          <w:szCs w:val="30"/>
          <w:lang w:eastAsia="zh-CN"/>
        </w:rPr>
        <w:t>优势专业：通过试点建设，建成若干个优势突出、特色鲜明的校级优势本科专业，并发挥其辐射引领作用，整体提升我校专业建设内涵。</w:t>
      </w:r>
    </w:p>
    <w:p>
      <w:pPr>
        <w:pStyle w:val="5"/>
        <w:widowControl/>
        <w:spacing w:line="360" w:lineRule="auto"/>
        <w:ind w:left="0" w:firstLine="600" w:firstLineChars="200"/>
        <w:rPr>
          <w:rFonts w:hint="eastAsia" w:ascii="仿宋_GB2312" w:hAnsi="仿宋" w:eastAsia="仿宋_GB2312" w:cs="仿宋_GB2312"/>
          <w:bCs/>
          <w:sz w:val="30"/>
          <w:szCs w:val="30"/>
          <w:lang w:val="en-US"/>
        </w:rPr>
      </w:pPr>
      <w:r>
        <w:rPr>
          <w:rFonts w:hint="eastAsia" w:ascii="仿宋_GB2312" w:hAnsi="仿宋" w:eastAsia="仿宋_GB2312" w:cs="仿宋_GB2312"/>
          <w:bCs/>
          <w:sz w:val="30"/>
          <w:szCs w:val="30"/>
          <w:lang w:val="en-US"/>
        </w:rPr>
        <w:t>2.</w:t>
      </w:r>
      <w:r>
        <w:rPr>
          <w:rFonts w:hint="eastAsia" w:ascii="仿宋_GB2312" w:hAnsi="仿宋" w:eastAsia="仿宋_GB2312" w:cs="仿宋_GB2312"/>
          <w:bCs/>
          <w:sz w:val="30"/>
          <w:szCs w:val="30"/>
          <w:lang w:eastAsia="zh-CN"/>
        </w:rPr>
        <w:t>特色专业：聚焦培养模式、课程设置、教材建设、实践教学、师资队伍、平台建设等重点难点，持续凝练和强化专业特色，使之成为具有显著地域性和应用性的专业。</w:t>
      </w:r>
    </w:p>
    <w:p>
      <w:pPr>
        <w:pStyle w:val="5"/>
        <w:widowControl/>
        <w:spacing w:line="360" w:lineRule="auto"/>
        <w:ind w:left="0" w:firstLine="600" w:firstLineChars="200"/>
        <w:rPr>
          <w:rFonts w:hint="eastAsia" w:ascii="仿宋_GB2312" w:hAnsi="仿宋" w:eastAsia="仿宋_GB2312" w:cs="仿宋_GB2312"/>
          <w:bCs/>
          <w:sz w:val="30"/>
          <w:szCs w:val="30"/>
          <w:lang w:val="en-US"/>
        </w:rPr>
      </w:pPr>
      <w:r>
        <w:rPr>
          <w:rFonts w:hint="eastAsia" w:ascii="仿宋_GB2312" w:hAnsi="仿宋" w:eastAsia="仿宋_GB2312" w:cs="仿宋_GB2312"/>
          <w:bCs/>
          <w:sz w:val="30"/>
          <w:szCs w:val="30"/>
          <w:lang w:val="en-US"/>
        </w:rPr>
        <w:t>3.</w:t>
      </w:r>
      <w:r>
        <w:rPr>
          <w:rFonts w:hint="eastAsia" w:ascii="仿宋_GB2312" w:hAnsi="仿宋" w:eastAsia="仿宋_GB2312" w:cs="仿宋_GB2312"/>
          <w:bCs/>
          <w:sz w:val="30"/>
          <w:szCs w:val="30"/>
          <w:lang w:eastAsia="zh-CN"/>
        </w:rPr>
        <w:t>培育专业：根据各教学院专业数，确定</w:t>
      </w:r>
      <w:r>
        <w:rPr>
          <w:rFonts w:hint="eastAsia" w:ascii="仿宋_GB2312" w:hAnsi="仿宋" w:eastAsia="仿宋_GB2312" w:cs="仿宋_GB2312"/>
          <w:bCs/>
          <w:sz w:val="30"/>
          <w:szCs w:val="30"/>
          <w:lang w:val="en-US"/>
        </w:rPr>
        <w:t>20%</w:t>
      </w:r>
      <w:r>
        <w:rPr>
          <w:rFonts w:hint="eastAsia" w:ascii="仿宋_GB2312" w:hAnsi="仿宋" w:eastAsia="仿宋_GB2312" w:cs="仿宋_GB2312"/>
          <w:bCs/>
          <w:sz w:val="30"/>
          <w:szCs w:val="30"/>
          <w:lang w:eastAsia="zh-CN"/>
        </w:rPr>
        <w:t>左右的专业进行培育。培育专业优先倾向于那些有较为旺盛的社会需求且有良好发展前景、具有新兴和交叉特点、创新性和成长性强、优势与特色鲜明、能有力服务区域经济社会发展的专业。</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第六条</w:t>
      </w:r>
      <w:r>
        <w:rPr>
          <w:rFonts w:hint="eastAsia" w:ascii="仿宋_GB2312" w:hAnsi="仿宋" w:eastAsia="仿宋_GB2312" w:cs="仿宋_GB2312"/>
          <w:kern w:val="2"/>
          <w:sz w:val="30"/>
          <w:szCs w:val="30"/>
          <w:lang w:val="en-US" w:eastAsia="zh-CN" w:bidi="ar"/>
        </w:rPr>
        <w:t xml:space="preserve"> 校级一流专业建设按照“一张清单”模式推进实施，强化职能部门与一流专业建设单位之间的对接与协调。“一张清单”重点包括专业建设目标、建设内容、预期成效、经费保障等。每年底，各专业教学团队制定下一年度的建设目标、建设内容、预期成效和经费需求，根据学校总体建设方案，与各学科对接年度建设任务指标，配置和调整建设资源，形成各一流专业建设学科的“一张清单”。</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“一张清单”经学校教务处组织专家审定合格后，作为一流专业（优势、特色、培育）建设验收标准。</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第四章  申报与立项</w:t>
      </w:r>
    </w:p>
    <w:p>
      <w:pPr>
        <w:pStyle w:val="8"/>
        <w:widowControl/>
        <w:snapToGrid w:val="0"/>
        <w:spacing w:before="0" w:beforeAutospacing="0" w:after="0" w:afterAutospacing="0" w:line="360" w:lineRule="auto"/>
        <w:ind w:left="0" w:right="0" w:firstLine="602" w:firstLineChars="200"/>
        <w:rPr>
          <w:rFonts w:hint="eastAsia" w:ascii="仿宋_GB2312" w:hAnsi="仿宋" w:eastAsia="仿宋_GB2312" w:cs="Times New Roman"/>
          <w:kern w:val="2"/>
          <w:sz w:val="30"/>
          <w:szCs w:val="30"/>
          <w:lang w:val="en-US"/>
        </w:rPr>
      </w:pPr>
      <w:r>
        <w:rPr>
          <w:rFonts w:hint="eastAsia" w:ascii="仿宋_GB2312" w:hAnsi="仿宋" w:eastAsia="仿宋_GB2312" w:cs="Times New Roman"/>
          <w:b/>
          <w:kern w:val="2"/>
          <w:sz w:val="30"/>
          <w:szCs w:val="30"/>
          <w:lang w:eastAsia="zh-CN"/>
        </w:rPr>
        <w:t>第七条</w:t>
      </w:r>
      <w:r>
        <w:rPr>
          <w:rFonts w:hint="eastAsia" w:ascii="仿宋_GB2312" w:hAnsi="仿宋" w:eastAsia="仿宋_GB2312" w:cs="Times New Roman"/>
          <w:kern w:val="2"/>
          <w:sz w:val="30"/>
          <w:szCs w:val="30"/>
          <w:lang w:eastAsia="zh-CN"/>
        </w:rPr>
        <w:t xml:space="preserve"> 专业申报。学校下发有关申报通知，申报的专业需填写《宜春学院一流专业建设申报表》及《宜春学院一流专业申报情况简表》，由教学院院教学指导委员审核后，统一提交教务处审核。原则上每院申报数不超过本院专业数（已立项的专业不计入总数）的</w:t>
      </w:r>
      <w:r>
        <w:rPr>
          <w:rFonts w:hint="eastAsia" w:ascii="仿宋_GB2312" w:hAnsi="仿宋" w:eastAsia="仿宋_GB2312" w:cs="Times New Roman"/>
          <w:kern w:val="2"/>
          <w:sz w:val="30"/>
          <w:szCs w:val="30"/>
          <w:lang w:val="en-US"/>
        </w:rPr>
        <w:t>50%</w:t>
      </w:r>
      <w:r>
        <w:rPr>
          <w:rFonts w:hint="eastAsia" w:ascii="仿宋_GB2312" w:hAnsi="仿宋" w:eastAsia="仿宋_GB2312" w:cs="Times New Roman"/>
          <w:kern w:val="2"/>
          <w:sz w:val="30"/>
          <w:szCs w:val="30"/>
          <w:lang w:eastAsia="zh-CN"/>
        </w:rPr>
        <w:t>（可采取四舍五入制）。</w:t>
      </w:r>
    </w:p>
    <w:p>
      <w:pPr>
        <w:keepNext w:val="0"/>
        <w:keepLines w:val="0"/>
        <w:widowControl w:val="0"/>
        <w:suppressLineNumbers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第八条</w:t>
      </w:r>
      <w:r>
        <w:rPr>
          <w:rFonts w:hint="eastAsia" w:ascii="仿宋_GB2312" w:hAnsi="仿宋" w:eastAsia="仿宋_GB2312" w:cs="仿宋_GB2312"/>
          <w:kern w:val="2"/>
          <w:sz w:val="30"/>
          <w:szCs w:val="30"/>
          <w:lang w:val="en-US" w:eastAsia="zh-CN" w:bidi="ar"/>
        </w:rPr>
        <w:t xml:space="preserve"> 学校评选。学校采取校内外专家或引入专业机构或第三方评价方式，根据学校制定的一流本科专业建设项目评审参考标准对申报专业进行评审，评审结果公示无异议后经学校教学指导委员会审定，报校长办公会审批后，</w:t>
      </w:r>
      <w:r>
        <w:rPr>
          <w:rFonts w:hint="eastAsia" w:ascii="仿宋_GB2312" w:hAnsi="仿宋" w:eastAsia="仿宋_GB2312" w:cs="仿宋"/>
          <w:kern w:val="2"/>
          <w:sz w:val="32"/>
          <w:szCs w:val="32"/>
          <w:lang w:val="en-US" w:eastAsia="zh-CN" w:bidi="ar"/>
        </w:rPr>
        <w:t>立项为校级一流专业建设点。</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第五章  建设与管理</w:t>
      </w:r>
    </w:p>
    <w:p>
      <w:pPr>
        <w:pStyle w:val="8"/>
        <w:widowControl/>
        <w:snapToGrid w:val="0"/>
        <w:spacing w:before="0" w:beforeAutospacing="0" w:after="0" w:afterAutospacing="0" w:line="360" w:lineRule="auto"/>
        <w:ind w:left="0" w:right="0" w:firstLine="602" w:firstLineChars="200"/>
        <w:rPr>
          <w:rFonts w:hint="eastAsia" w:ascii="仿宋_GB2312" w:hAnsi="仿宋" w:eastAsia="仿宋_GB2312" w:cs="仿宋_GB2312"/>
          <w:sz w:val="30"/>
          <w:szCs w:val="30"/>
          <w:lang w:val="en-US"/>
        </w:rPr>
      </w:pPr>
      <w:r>
        <w:rPr>
          <w:rFonts w:hint="eastAsia" w:ascii="仿宋_GB2312" w:hAnsi="仿宋" w:eastAsia="仿宋_GB2312" w:cs="仿宋_GB2312"/>
          <w:b/>
          <w:bCs w:val="0"/>
          <w:sz w:val="30"/>
          <w:szCs w:val="30"/>
          <w:lang w:eastAsia="zh-CN"/>
        </w:rPr>
        <w:t>第九条</w:t>
      </w:r>
      <w:r>
        <w:rPr>
          <w:rFonts w:hint="eastAsia" w:ascii="仿宋_GB2312" w:hAnsi="仿宋" w:eastAsia="仿宋_GB2312" w:cs="仿宋_GB2312"/>
          <w:sz w:val="30"/>
          <w:szCs w:val="30"/>
          <w:lang w:eastAsia="zh-CN"/>
        </w:rPr>
        <w:t xml:space="preserve"> 校级一流专业建设点的建设期为三年，实行动态管理。</w:t>
      </w:r>
    </w:p>
    <w:p>
      <w:pPr>
        <w:pStyle w:val="8"/>
        <w:widowControl/>
        <w:snapToGrid w:val="0"/>
        <w:spacing w:before="0" w:beforeAutospacing="0" w:after="0" w:afterAutospacing="0" w:line="360" w:lineRule="auto"/>
        <w:ind w:left="0" w:right="0" w:firstLine="602" w:firstLineChars="200"/>
        <w:rPr>
          <w:rFonts w:hint="eastAsia" w:ascii="仿宋_GB2312" w:hAnsi="仿宋" w:eastAsia="仿宋_GB2312" w:cs="仿宋_GB2312"/>
          <w:sz w:val="30"/>
          <w:szCs w:val="30"/>
          <w:lang w:val="en-US"/>
        </w:rPr>
      </w:pPr>
      <w:r>
        <w:rPr>
          <w:rFonts w:hint="eastAsia" w:ascii="仿宋_GB2312" w:hAnsi="仿宋" w:eastAsia="仿宋_GB2312" w:cs="仿宋_GB2312"/>
          <w:b/>
          <w:bCs w:val="0"/>
          <w:sz w:val="30"/>
          <w:szCs w:val="30"/>
          <w:lang w:eastAsia="zh-CN"/>
        </w:rPr>
        <w:t>第十条</w:t>
      </w:r>
      <w:r>
        <w:rPr>
          <w:rFonts w:hint="eastAsia" w:ascii="仿宋_GB2312" w:hAnsi="仿宋" w:eastAsia="仿宋_GB2312" w:cs="仿宋_GB2312"/>
          <w:sz w:val="30"/>
          <w:szCs w:val="30"/>
          <w:lang w:eastAsia="zh-CN"/>
        </w:rPr>
        <w:t xml:space="preserve"> 校级一流专业建设点的管理实行校、院、专业负责人三级负责制。教务处主要负责一流专业建设点的遴选、评估、验收及全校性制度、方案的制定等有关管理工作；立项专业所在教学院是项目责任主体，负责推进专业的整体建设；专业负责人是项目建设主体，负责一流本科专业建设的具体工作。其他有关职能部门要积极为一流专业建设创造条件和提供相关服务。</w:t>
      </w:r>
    </w:p>
    <w:p>
      <w:pPr>
        <w:pStyle w:val="8"/>
        <w:widowControl/>
        <w:snapToGrid w:val="0"/>
        <w:spacing w:before="0" w:beforeAutospacing="0" w:after="0" w:afterAutospacing="0" w:line="360" w:lineRule="auto"/>
        <w:ind w:left="0" w:right="0" w:firstLine="602" w:firstLineChars="200"/>
        <w:rPr>
          <w:rFonts w:hint="eastAsia" w:ascii="仿宋_GB2312" w:hAnsi="仿宋" w:eastAsia="仿宋_GB2312" w:cs="仿宋_GB2312"/>
          <w:sz w:val="30"/>
          <w:szCs w:val="30"/>
          <w:lang w:val="en-US"/>
        </w:rPr>
      </w:pPr>
      <w:r>
        <w:rPr>
          <w:rFonts w:hint="eastAsia" w:ascii="仿宋_GB2312" w:hAnsi="仿宋" w:eastAsia="仿宋_GB2312" w:cs="仿宋_GB2312"/>
          <w:b/>
          <w:bCs w:val="0"/>
          <w:sz w:val="30"/>
          <w:szCs w:val="30"/>
          <w:lang w:eastAsia="zh-CN"/>
        </w:rPr>
        <w:t>第十一条</w:t>
      </w:r>
      <w:r>
        <w:rPr>
          <w:rFonts w:hint="eastAsia" w:ascii="仿宋_GB2312" w:hAnsi="仿宋" w:eastAsia="仿宋_GB2312" w:cs="仿宋_GB2312"/>
          <w:sz w:val="30"/>
          <w:szCs w:val="30"/>
          <w:lang w:eastAsia="zh-CN"/>
        </w:rPr>
        <w:t xml:space="preserve"> 一流专业建设点负责人按照学校要求组织完成各类检查验收工作，保证按期达到专业建设的预期目标。学校将择优推荐校级一流专业建设点申报省级、国家级一流专业。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第六章  经费管理</w:t>
      </w:r>
    </w:p>
    <w:p>
      <w:pPr>
        <w:pStyle w:val="8"/>
        <w:widowControl/>
        <w:snapToGrid w:val="0"/>
        <w:spacing w:before="0" w:beforeAutospacing="0" w:after="0" w:afterAutospacing="0" w:line="360" w:lineRule="auto"/>
        <w:ind w:left="0" w:right="0" w:firstLine="602" w:firstLineChars="200"/>
        <w:rPr>
          <w:rFonts w:hint="eastAsia" w:ascii="仿宋_GB2312" w:hAnsi="仿宋" w:eastAsia="仿宋_GB2312" w:cs="仿宋_GB2312"/>
          <w:sz w:val="30"/>
          <w:szCs w:val="30"/>
          <w:lang w:val="en-US"/>
        </w:rPr>
      </w:pPr>
      <w:r>
        <w:rPr>
          <w:rFonts w:hint="eastAsia" w:ascii="仿宋_GB2312" w:hAnsi="仿宋" w:eastAsia="仿宋_GB2312" w:cs="仿宋_GB2312"/>
          <w:b/>
          <w:bCs w:val="0"/>
          <w:sz w:val="30"/>
          <w:szCs w:val="30"/>
          <w:lang w:eastAsia="zh-CN"/>
        </w:rPr>
        <w:t>第十二条</w:t>
      </w:r>
      <w:r>
        <w:rPr>
          <w:rFonts w:hint="eastAsia" w:ascii="仿宋_GB2312" w:hAnsi="仿宋" w:eastAsia="仿宋_GB2312" w:cs="仿宋_GB2312"/>
          <w:sz w:val="30"/>
          <w:szCs w:val="30"/>
          <w:lang w:eastAsia="zh-CN"/>
        </w:rPr>
        <w:t xml:space="preserve"> 学校设立一流专业建设专项经费，根据专业性质和特点，分优势、特色、培育三个层次分别给予适当资助。经费主要用于资助专业开展教学研究与教学改革、学生开展创新实践活动、学科专业竞赛以及其他与专业建设相关的必要支出等。</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宋体"/>
          <w:b/>
          <w:bCs w:val="0"/>
          <w:kern w:val="0"/>
          <w:sz w:val="30"/>
          <w:szCs w:val="30"/>
          <w:lang w:val="en-US" w:eastAsia="zh-CN" w:bidi="ar"/>
        </w:rPr>
        <w:t>第十三条</w:t>
      </w:r>
      <w:r>
        <w:rPr>
          <w:rFonts w:hint="eastAsia" w:ascii="仿宋_GB2312" w:hAnsi="仿宋" w:eastAsia="仿宋_GB2312" w:cs="仿宋_GB2312"/>
          <w:kern w:val="2"/>
          <w:sz w:val="30"/>
          <w:szCs w:val="30"/>
          <w:lang w:val="en-US" w:eastAsia="zh-CN" w:bidi="ar"/>
        </w:rPr>
        <w:t xml:space="preserve"> 建设经费实行独立核算、专款专用、指标控制、动态调整，任何部门和单位不得截留、挪用或虚报。</w:t>
      </w:r>
    </w:p>
    <w:p>
      <w:pPr>
        <w:pStyle w:val="8"/>
        <w:widowControl/>
        <w:snapToGrid w:val="0"/>
        <w:spacing w:before="0" w:beforeAutospacing="0" w:after="0" w:afterAutospacing="0" w:line="360" w:lineRule="auto"/>
        <w:ind w:left="0" w:right="0" w:firstLine="602" w:firstLineChars="200"/>
        <w:rPr>
          <w:rFonts w:hint="eastAsia" w:ascii="仿宋_GB2312" w:hAnsi="仿宋" w:eastAsia="仿宋_GB2312" w:cs="仿宋_GB2312"/>
          <w:sz w:val="30"/>
          <w:szCs w:val="30"/>
          <w:lang w:val="en-US"/>
        </w:rPr>
      </w:pPr>
      <w:r>
        <w:rPr>
          <w:rFonts w:hint="eastAsia" w:ascii="仿宋_GB2312" w:hAnsi="仿宋" w:eastAsia="仿宋_GB2312" w:cs="仿宋_GB2312"/>
          <w:b/>
          <w:bCs w:val="0"/>
          <w:sz w:val="30"/>
          <w:szCs w:val="30"/>
          <w:lang w:eastAsia="zh-CN"/>
        </w:rPr>
        <w:t xml:space="preserve">第十四条 </w:t>
      </w:r>
      <w:r>
        <w:rPr>
          <w:rFonts w:hint="eastAsia" w:ascii="仿宋_GB2312" w:hAnsi="仿宋" w:eastAsia="仿宋_GB2312" w:cs="仿宋_GB2312"/>
          <w:sz w:val="30"/>
          <w:szCs w:val="30"/>
          <w:lang w:eastAsia="zh-CN"/>
        </w:rPr>
        <w:t>对获得省级及以上特色专业建设点的专业，学校将参照上级资助经费标准，</w:t>
      </w:r>
      <w:r>
        <w:rPr>
          <w:rFonts w:hint="eastAsia" w:ascii="仿宋_GB2312" w:hAnsi="仿宋" w:eastAsia="仿宋_GB2312" w:cs="仿宋_GB2312"/>
          <w:snapToGrid w:val="0"/>
          <w:sz w:val="30"/>
          <w:szCs w:val="30"/>
          <w:lang w:eastAsia="zh-CN"/>
        </w:rPr>
        <w:t>追加</w:t>
      </w:r>
      <w:r>
        <w:rPr>
          <w:rFonts w:hint="eastAsia" w:ascii="仿宋_GB2312" w:hAnsi="仿宋" w:eastAsia="仿宋_GB2312" w:cs="仿宋_GB2312"/>
          <w:sz w:val="30"/>
          <w:szCs w:val="30"/>
          <w:lang w:eastAsia="zh-CN"/>
        </w:rPr>
        <w:t>一定的</w:t>
      </w:r>
      <w:r>
        <w:rPr>
          <w:rFonts w:hint="eastAsia" w:ascii="仿宋_GB2312" w:hAnsi="仿宋" w:eastAsia="仿宋_GB2312" w:cs="仿宋_GB2312"/>
          <w:snapToGrid w:val="0"/>
          <w:sz w:val="30"/>
          <w:szCs w:val="30"/>
          <w:lang w:eastAsia="zh-CN"/>
        </w:rPr>
        <w:t>建设经费，分年划拨。</w:t>
      </w:r>
    </w:p>
    <w:p>
      <w:pPr>
        <w:pStyle w:val="8"/>
        <w:widowControl/>
        <w:snapToGrid w:val="0"/>
        <w:spacing w:before="0" w:beforeAutospacing="0" w:after="0" w:afterAutospacing="0" w:line="360" w:lineRule="auto"/>
        <w:ind w:left="0" w:right="0" w:firstLine="480" w:firstLineChars="200"/>
        <w:rPr>
          <w:rFonts w:hint="eastAsia" w:ascii="仿宋_GB2312" w:hAnsi="仿宋" w:eastAsia="仿宋_GB2312" w:cs="仿宋_GB2312"/>
          <w:b/>
          <w:bCs w:val="0"/>
          <w:sz w:val="30"/>
          <w:szCs w:val="30"/>
          <w:lang w:val="en-US"/>
        </w:rPr>
      </w:pPr>
      <w:r>
        <w:rPr>
          <w:snapToGrid w:val="0"/>
          <w:lang w:eastAsia="zh-CN"/>
        </w:rPr>
        <mc:AlternateContent>
          <mc:Choice Requires="wps">
            <w:drawing>
              <wp:anchor distT="0" distB="0" distL="114300" distR="114300" simplePos="0" relativeHeight="251662336" behindDoc="0" locked="0" layoutInCell="1" allowOverlap="1">
                <wp:simplePos x="0" y="0"/>
                <wp:positionH relativeFrom="column">
                  <wp:posOffset>2823210</wp:posOffset>
                </wp:positionH>
                <wp:positionV relativeFrom="paragraph">
                  <wp:posOffset>1242060</wp:posOffset>
                </wp:positionV>
                <wp:extent cx="209550" cy="0"/>
                <wp:effectExtent l="0" t="48895" r="3810" b="57785"/>
                <wp:wrapNone/>
                <wp:docPr id="4" name="自选图形 4"/>
                <wp:cNvGraphicFramePr/>
                <a:graphic xmlns:a="http://schemas.openxmlformats.org/drawingml/2006/main">
                  <a:graphicData uri="http://schemas.microsoft.com/office/word/2010/wordprocessingShape">
                    <wps:wsp>
                      <wps:cNvCnPr/>
                      <wps:spPr>
                        <a:xfrm>
                          <a:off x="0" y="0"/>
                          <a:ext cx="20955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 o:spid="_x0000_s1026" o:spt="32" type="#_x0000_t32" style="position:absolute;left:0pt;margin-left:222.3pt;margin-top:97.8pt;height:0pt;width:16.5pt;z-index:251662336;mso-width-relative:page;mso-height-relative:page;" filled="f" stroked="t" coordsize="21600,21600" o:gfxdata="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iSPg1wAAAAsBAAAPAAAA&#10;AAAAAAEAIAAAACIAAABkcnMvZG93bnJldi54bWxQSwECFAAUAAAACACHTuJAH0LXS90BAACVAwAA&#10;DgAAAAAAAAABACAAAAAmAQAAZHJzL2Uyb0RvYy54bWxQSwUGAAAAAAYABgBZAQAAdQUAAAAA&#10;">
                <v:fill on="f" focussize="0,0"/>
                <v:stroke color="#000000" joinstyle="round" endarrow="open"/>
                <v:imagedata o:title=""/>
                <o:lock v:ext="edit" aspectratio="f"/>
              </v:shape>
            </w:pict>
          </mc:Fallback>
        </mc:AlternateContent>
      </w:r>
      <w:r>
        <w:rPr>
          <w:snapToGrid w:val="0"/>
          <w:lang w:eastAsia="zh-CN"/>
        </w:rPr>
        <mc:AlternateContent>
          <mc:Choice Requires="wps">
            <w:drawing>
              <wp:anchor distT="0" distB="0" distL="114300" distR="114300" simplePos="0" relativeHeight="251661312" behindDoc="0" locked="0" layoutInCell="1" allowOverlap="1">
                <wp:simplePos x="0" y="0"/>
                <wp:positionH relativeFrom="column">
                  <wp:posOffset>4794885</wp:posOffset>
                </wp:positionH>
                <wp:positionV relativeFrom="paragraph">
                  <wp:posOffset>880110</wp:posOffset>
                </wp:positionV>
                <wp:extent cx="209550" cy="0"/>
                <wp:effectExtent l="0" t="48895" r="3810" b="57785"/>
                <wp:wrapNone/>
                <wp:docPr id="5" name="自选图形 3"/>
                <wp:cNvGraphicFramePr/>
                <a:graphic xmlns:a="http://schemas.openxmlformats.org/drawingml/2006/main">
                  <a:graphicData uri="http://schemas.microsoft.com/office/word/2010/wordprocessingShape">
                    <wps:wsp>
                      <wps:cNvCnPr/>
                      <wps:spPr>
                        <a:xfrm>
                          <a:off x="0" y="0"/>
                          <a:ext cx="20955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3" o:spid="_x0000_s1026" o:spt="32" type="#_x0000_t32" style="position:absolute;left:0pt;margin-left:377.55pt;margin-top:69.3pt;height:0pt;width:16.5pt;z-index:251661312;mso-width-relative:page;mso-height-relative:page;" filled="f" stroked="t" coordsize="21600,21600" o:gfxdata="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42EcO1wAAAAsBAAAPAAAA&#10;AAAAAAEAIAAAACIAAABkcnMvZG93bnJldi54bWxQSwECFAAUAAAACACHTuJATQfe290BAACVAwAA&#10;DgAAAAAAAAABACAAAAAmAQAAZHJzL2Uyb0RvYy54bWxQSwUGAAAAAAYABgBZAQAAdQUAAAAA&#10;">
                <v:fill on="f" focussize="0,0"/>
                <v:stroke color="#000000" joinstyle="round" endarrow="open"/>
                <v:imagedata o:title=""/>
                <o:lock v:ext="edit" aspectratio="f"/>
              </v:shape>
            </w:pict>
          </mc:Fallback>
        </mc:AlternateContent>
      </w:r>
      <w:r>
        <w:rPr>
          <w:snapToGrid w:val="0"/>
          <w:lang w:eastAsia="zh-CN"/>
        </w:rPr>
        <mc:AlternateContent>
          <mc:Choice Requires="wps">
            <w:drawing>
              <wp:anchor distT="0" distB="0" distL="114300" distR="114300" simplePos="0" relativeHeight="251664384" behindDoc="0" locked="0" layoutInCell="1" allowOverlap="1">
                <wp:simplePos x="0" y="0"/>
                <wp:positionH relativeFrom="column">
                  <wp:posOffset>2985135</wp:posOffset>
                </wp:positionH>
                <wp:positionV relativeFrom="paragraph">
                  <wp:posOffset>880110</wp:posOffset>
                </wp:positionV>
                <wp:extent cx="209550" cy="0"/>
                <wp:effectExtent l="0" t="48895" r="3810" b="57785"/>
                <wp:wrapNone/>
                <wp:docPr id="6" name="自选图形 40"/>
                <wp:cNvGraphicFramePr/>
                <a:graphic xmlns:a="http://schemas.openxmlformats.org/drawingml/2006/main">
                  <a:graphicData uri="http://schemas.microsoft.com/office/word/2010/wordprocessingShape">
                    <wps:wsp>
                      <wps:cNvCnPr/>
                      <wps:spPr>
                        <a:xfrm>
                          <a:off x="0" y="0"/>
                          <a:ext cx="20955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0" o:spid="_x0000_s1026" o:spt="32" type="#_x0000_t32" style="position:absolute;left:0pt;margin-left:235.05pt;margin-top:69.3pt;height:0pt;width:16.5pt;z-index:251664384;mso-width-relative:page;mso-height-relative:page;" filled="f" stroked="t" coordsize="21600,21600" o:gfxdata="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NzwG1wAAAAsBAAAPAAAA&#10;AAAAAAEAIAAAACIAAABkcnMvZG93bnJldi54bWxQSwECFAAUAAAACACHTuJArkVIJ90BAACWAwAA&#10;DgAAAAAAAAABACAAAAAmAQAAZHJzL2Uyb0RvYy54bWxQSwUGAAAAAAYABgBZAQAAdQUAAAAA&#10;">
                <v:fill on="f" focussize="0,0"/>
                <v:stroke color="#000000" joinstyle="round" endarrow="open"/>
                <v:imagedata o:title=""/>
                <o:lock v:ext="edit" aspectratio="f"/>
              </v:shape>
            </w:pict>
          </mc:Fallback>
        </mc:AlternateContent>
      </w:r>
      <w:r>
        <w:rPr>
          <w:snapToGrid w:val="0"/>
          <w:lang w:eastAsia="zh-CN"/>
        </w:rPr>
        <mc:AlternateContent>
          <mc:Choice Requires="wps">
            <w:drawing>
              <wp:anchor distT="0" distB="0" distL="114300" distR="114300" simplePos="0" relativeHeight="251663360" behindDoc="0" locked="0" layoutInCell="1" allowOverlap="1">
                <wp:simplePos x="0" y="0"/>
                <wp:positionH relativeFrom="column">
                  <wp:posOffset>4251960</wp:posOffset>
                </wp:positionH>
                <wp:positionV relativeFrom="paragraph">
                  <wp:posOffset>1242060</wp:posOffset>
                </wp:positionV>
                <wp:extent cx="209550" cy="0"/>
                <wp:effectExtent l="0" t="48895" r="3810" b="57785"/>
                <wp:wrapNone/>
                <wp:docPr id="23" name="自选图形 41"/>
                <wp:cNvGraphicFramePr/>
                <a:graphic xmlns:a="http://schemas.openxmlformats.org/drawingml/2006/main">
                  <a:graphicData uri="http://schemas.microsoft.com/office/word/2010/wordprocessingShape">
                    <wps:wsp>
                      <wps:cNvCnPr/>
                      <wps:spPr>
                        <a:xfrm>
                          <a:off x="0" y="0"/>
                          <a:ext cx="20955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1" o:spid="_x0000_s1026" o:spt="32" type="#_x0000_t32" style="position:absolute;left:0pt;margin-left:334.8pt;margin-top:97.8pt;height:0pt;width:16.5pt;z-index:251663360;mso-width-relative:page;mso-height-relative:page;" filled="f" stroked="t" coordsize="21600,21600" o:gfxdata="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BUJCbXAAAACwEAAA8A&#10;AAAAAAAAAQAgAAAAIgAAAGRycy9kb3ducmV2LnhtbFBLAQIUABQAAAAIAIdO4kAc7/bs3wEAAJcD&#10;AAAOAAAAAAAAAAEAIAAAACYBAABkcnMvZTJvRG9jLnhtbFBLBQYAAAAABgAGAFkBAAB3BQAAAAA=&#10;">
                <v:fill on="f" focussize="0,0"/>
                <v:stroke color="#000000" joinstyle="round" endarrow="open"/>
                <v:imagedata o:title=""/>
                <o:lock v:ext="edit" aspectratio="f"/>
              </v:shape>
            </w:pict>
          </mc:Fallback>
        </mc:AlternateContent>
      </w:r>
      <w:r>
        <w:rPr>
          <w:snapToGrid w:val="0"/>
          <w:lang w:eastAsia="zh-CN"/>
        </w:rPr>
        <mc:AlternateContent>
          <mc:Choice Requires="wps">
            <w:drawing>
              <wp:anchor distT="0" distB="0" distL="114300" distR="114300" simplePos="0" relativeHeight="251660288" behindDoc="0" locked="0" layoutInCell="1" allowOverlap="1">
                <wp:simplePos x="0" y="0"/>
                <wp:positionH relativeFrom="column">
                  <wp:posOffset>1546860</wp:posOffset>
                </wp:positionH>
                <wp:positionV relativeFrom="paragraph">
                  <wp:posOffset>870585</wp:posOffset>
                </wp:positionV>
                <wp:extent cx="209550" cy="0"/>
                <wp:effectExtent l="0" t="48895" r="3810" b="57785"/>
                <wp:wrapNone/>
                <wp:docPr id="8" name="自选图形 2"/>
                <wp:cNvGraphicFramePr/>
                <a:graphic xmlns:a="http://schemas.openxmlformats.org/drawingml/2006/main">
                  <a:graphicData uri="http://schemas.microsoft.com/office/word/2010/wordprocessingShape">
                    <wps:wsp>
                      <wps:cNvCnPr/>
                      <wps:spPr>
                        <a:xfrm>
                          <a:off x="0" y="0"/>
                          <a:ext cx="20955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2" o:spid="_x0000_s1026" o:spt="32" type="#_x0000_t32" style="position:absolute;left:0pt;margin-left:121.8pt;margin-top:68.55pt;height:0pt;width:16.5pt;z-index:251660288;mso-width-relative:page;mso-height-relative:page;" filled="f" stroked="t" coordsize="21600,21600" o:gfxdata="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2wXE1wAAAAsBAAAPAAAA&#10;AAAAAAEAIAAAACIAAABkcnMvZG93bnJldi54bWxQSwECFAAUAAAACACHTuJAclma5t0BAACVAwAA&#10;DgAAAAAAAAABACAAAAAmAQAAZHJzL2Uyb0RvYy54bWxQSwUGAAAAAAYABgBZAQAAdQUAAAAA&#10;">
                <v:fill on="f" focussize="0,0"/>
                <v:stroke color="#000000" joinstyle="round" endarrow="open"/>
                <v:imagedata o:title=""/>
                <o:lock v:ext="edit" aspectratio="f"/>
              </v:shape>
            </w:pict>
          </mc:Fallback>
        </mc:AlternateContent>
      </w:r>
      <w:r>
        <w:rPr>
          <w:rFonts w:hint="eastAsia" w:ascii="仿宋_GB2312" w:hAnsi="仿宋" w:eastAsia="仿宋_GB2312" w:cs="仿宋_GB2312"/>
          <w:b/>
          <w:bCs w:val="0"/>
          <w:sz w:val="30"/>
          <w:szCs w:val="30"/>
          <w:lang w:eastAsia="zh-CN"/>
        </w:rPr>
        <w:t xml:space="preserve">第十五条 </w:t>
      </w:r>
      <w:r>
        <w:rPr>
          <w:rFonts w:hint="eastAsia" w:ascii="仿宋_GB2312" w:hAnsi="仿宋" w:eastAsia="仿宋_GB2312" w:cs="仿宋_GB2312"/>
          <w:bCs/>
          <w:sz w:val="30"/>
          <w:szCs w:val="30"/>
          <w:lang w:eastAsia="zh-CN"/>
        </w:rPr>
        <w:t>经费支出及报账流程应遵照学校财务管理相关制度执行，项目经费由项目所属教学院负责管理，报销流程：①项目经费使用人签字</w:t>
      </w:r>
      <w:r>
        <w:rPr>
          <w:rFonts w:hint="eastAsia" w:ascii="仿宋_GB2312" w:hAnsi="仿宋" w:eastAsia="仿宋_GB2312" w:cs="仿宋_GB2312"/>
          <w:bCs/>
          <w:sz w:val="30"/>
          <w:szCs w:val="30"/>
          <w:lang w:val="en-US"/>
        </w:rPr>
        <w:t xml:space="preserve">   </w:t>
      </w:r>
      <w:r>
        <w:rPr>
          <w:rFonts w:hint="eastAsia" w:ascii="仿宋_GB2312" w:hAnsi="仿宋" w:eastAsia="仿宋_GB2312" w:cs="仿宋_GB2312"/>
          <w:bCs/>
          <w:sz w:val="30"/>
          <w:szCs w:val="30"/>
          <w:lang w:eastAsia="zh-CN"/>
        </w:rPr>
        <w:t>②证明人签字</w:t>
      </w:r>
      <w:r>
        <w:rPr>
          <w:rFonts w:hint="eastAsia" w:ascii="仿宋_GB2312" w:hAnsi="仿宋" w:eastAsia="仿宋_GB2312" w:cs="仿宋_GB2312"/>
          <w:bCs/>
          <w:sz w:val="30"/>
          <w:szCs w:val="30"/>
          <w:lang w:val="en-US"/>
        </w:rPr>
        <w:t xml:space="preserve">   </w:t>
      </w:r>
      <w:r>
        <w:rPr>
          <w:rFonts w:hint="eastAsia" w:ascii="仿宋_GB2312" w:hAnsi="仿宋" w:eastAsia="仿宋_GB2312" w:cs="仿宋_GB2312"/>
          <w:bCs/>
          <w:sz w:val="30"/>
          <w:szCs w:val="30"/>
          <w:lang w:eastAsia="zh-CN"/>
        </w:rPr>
        <w:t>③项目负责人签字</w:t>
      </w:r>
      <w:r>
        <w:rPr>
          <w:rFonts w:hint="eastAsia" w:ascii="仿宋_GB2312" w:hAnsi="仿宋" w:eastAsia="仿宋_GB2312" w:cs="仿宋_GB2312"/>
          <w:bCs/>
          <w:sz w:val="30"/>
          <w:szCs w:val="30"/>
          <w:lang w:val="en-US"/>
        </w:rPr>
        <w:t xml:space="preserve">   </w:t>
      </w:r>
      <w:r>
        <w:rPr>
          <w:rFonts w:hint="eastAsia" w:ascii="仿宋_GB2312" w:hAnsi="仿宋" w:eastAsia="仿宋_GB2312" w:cs="仿宋_GB2312"/>
          <w:bCs/>
          <w:sz w:val="30"/>
          <w:szCs w:val="30"/>
          <w:lang w:eastAsia="zh-CN"/>
        </w:rPr>
        <w:t>④所在教学院审核，院领导签字同意</w:t>
      </w:r>
      <w:r>
        <w:rPr>
          <w:rFonts w:hint="eastAsia" w:ascii="仿宋_GB2312" w:hAnsi="仿宋" w:eastAsia="仿宋_GB2312" w:cs="仿宋_GB2312"/>
          <w:bCs/>
          <w:sz w:val="30"/>
          <w:szCs w:val="30"/>
          <w:lang w:val="en-US"/>
        </w:rPr>
        <w:t xml:space="preserve">   </w:t>
      </w:r>
      <w:r>
        <w:rPr>
          <w:rFonts w:hint="eastAsia" w:ascii="仿宋_GB2312" w:hAnsi="仿宋" w:eastAsia="仿宋_GB2312" w:cs="仿宋_GB2312"/>
          <w:bCs/>
          <w:sz w:val="30"/>
          <w:szCs w:val="30"/>
          <w:lang w:eastAsia="zh-CN"/>
        </w:rPr>
        <w:t>⑤教务处登记</w:t>
      </w:r>
      <w:r>
        <w:rPr>
          <w:rFonts w:hint="eastAsia" w:ascii="仿宋_GB2312" w:hAnsi="仿宋" w:eastAsia="仿宋_GB2312" w:cs="仿宋_GB2312"/>
          <w:bCs/>
          <w:sz w:val="30"/>
          <w:szCs w:val="30"/>
          <w:lang w:val="en-US"/>
        </w:rPr>
        <w:t xml:space="preserve">   </w:t>
      </w:r>
      <w:r>
        <w:rPr>
          <w:rFonts w:hint="eastAsia" w:ascii="仿宋_GB2312" w:hAnsi="仿宋" w:eastAsia="仿宋_GB2312" w:cs="仿宋_GB2312"/>
          <w:bCs/>
          <w:sz w:val="30"/>
          <w:szCs w:val="30"/>
          <w:lang w:eastAsia="zh-CN"/>
        </w:rPr>
        <w:t>⑥计财处办理报销手续。如涉及大额经费支出，需按照学校规定在到计财处办理报销手续前由相关校领导审核签字。</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 xml:space="preserve">第七章  监督检查与评估 </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宋体"/>
          <w:kern w:val="0"/>
          <w:sz w:val="30"/>
          <w:szCs w:val="30"/>
          <w:lang w:val="en-US"/>
        </w:rPr>
      </w:pPr>
      <w:r>
        <w:rPr>
          <w:rFonts w:hint="eastAsia" w:ascii="仿宋_GB2312" w:hAnsi="仿宋" w:eastAsia="仿宋_GB2312" w:cs="宋体"/>
          <w:b/>
          <w:bCs w:val="0"/>
          <w:kern w:val="0"/>
          <w:sz w:val="30"/>
          <w:szCs w:val="30"/>
          <w:lang w:val="en-US" w:eastAsia="zh-CN" w:bidi="ar"/>
        </w:rPr>
        <w:t>第十六条</w:t>
      </w:r>
      <w:r>
        <w:rPr>
          <w:rFonts w:hint="eastAsia" w:ascii="仿宋_GB2312" w:hAnsi="仿宋" w:eastAsia="仿宋_GB2312" w:cs="宋体"/>
          <w:kern w:val="0"/>
          <w:sz w:val="30"/>
          <w:szCs w:val="30"/>
          <w:lang w:val="en-US" w:eastAsia="zh-CN" w:bidi="ar"/>
        </w:rPr>
        <w:t xml:space="preserve"> 一流专业建设周期内，实行年度检查、中期评估、期末验收等监督考核制度。通过监督检查，实现对建设专业的滚动支持和动态调整。</w:t>
      </w:r>
    </w:p>
    <w:p>
      <w:pPr>
        <w:pStyle w:val="8"/>
        <w:widowControl/>
        <w:snapToGrid w:val="0"/>
        <w:spacing w:before="0" w:beforeAutospacing="0" w:after="0" w:afterAutospacing="0" w:line="360" w:lineRule="auto"/>
        <w:ind w:left="0" w:right="0" w:firstLine="602" w:firstLineChars="200"/>
        <w:rPr>
          <w:rFonts w:hint="eastAsia" w:ascii="仿宋_GB2312" w:hAnsi="仿宋" w:eastAsia="仿宋_GB2312" w:cs="仿宋_GB2312"/>
          <w:sz w:val="30"/>
          <w:szCs w:val="30"/>
          <w:lang w:val="en-US"/>
        </w:rPr>
      </w:pPr>
      <w:r>
        <w:rPr>
          <w:rFonts w:hint="eastAsia" w:ascii="仿宋_GB2312" w:hAnsi="仿宋" w:eastAsia="仿宋_GB2312" w:cs="仿宋_GB2312"/>
          <w:b/>
          <w:bCs w:val="0"/>
          <w:sz w:val="30"/>
          <w:szCs w:val="30"/>
          <w:lang w:eastAsia="zh-CN"/>
        </w:rPr>
        <w:t>第十七条</w:t>
      </w:r>
      <w:r>
        <w:rPr>
          <w:rFonts w:hint="eastAsia" w:ascii="仿宋_GB2312" w:hAnsi="仿宋" w:eastAsia="仿宋_GB2312" w:cs="仿宋_GB2312"/>
          <w:sz w:val="30"/>
          <w:szCs w:val="30"/>
          <w:lang w:eastAsia="zh-CN"/>
        </w:rPr>
        <w:t xml:space="preserve"> 一流专业建设点应根据建设“一张清单”，明确建设责任和权利，并对照“一张清单”的任务指标，对开展目标完成情况、经费使用绩效等自我评价，形成年度自评报告。教务处依据各专业自评报告以及建设任务实际完成情况，进行年度考核。</w:t>
      </w:r>
    </w:p>
    <w:p>
      <w:pPr>
        <w:pStyle w:val="8"/>
        <w:widowControl/>
        <w:snapToGrid w:val="0"/>
        <w:spacing w:before="0" w:beforeAutospacing="0" w:after="0" w:afterAutospacing="0" w:line="360" w:lineRule="auto"/>
        <w:ind w:left="0" w:right="0" w:firstLine="602" w:firstLineChars="200"/>
        <w:rPr>
          <w:rFonts w:hint="eastAsia" w:ascii="仿宋_GB2312" w:hAnsi="仿宋" w:eastAsia="仿宋_GB2312" w:cs="仿宋_GB2312"/>
          <w:sz w:val="30"/>
          <w:szCs w:val="30"/>
          <w:lang w:val="en-US"/>
        </w:rPr>
      </w:pPr>
      <w:r>
        <w:rPr>
          <w:rFonts w:hint="eastAsia" w:ascii="仿宋_GB2312" w:hAnsi="仿宋" w:eastAsia="仿宋_GB2312" w:cs="仿宋_GB2312"/>
          <w:b/>
          <w:bCs w:val="0"/>
          <w:sz w:val="30"/>
          <w:szCs w:val="30"/>
          <w:lang w:eastAsia="zh-CN"/>
        </w:rPr>
        <w:t>第十八条</w:t>
      </w:r>
      <w:r>
        <w:rPr>
          <w:rFonts w:hint="eastAsia" w:ascii="仿宋_GB2312" w:hAnsi="仿宋" w:eastAsia="仿宋_GB2312" w:cs="仿宋_GB2312"/>
          <w:sz w:val="30"/>
          <w:szCs w:val="30"/>
          <w:lang w:eastAsia="zh-CN"/>
        </w:rPr>
        <w:t xml:space="preserve"> 建设</w:t>
      </w:r>
      <w:r>
        <w:rPr>
          <w:rFonts w:hint="eastAsia" w:ascii="仿宋_GB2312" w:hAnsi="仿宋" w:eastAsia="仿宋_GB2312" w:cs="Times New Roman"/>
          <w:kern w:val="2"/>
          <w:sz w:val="30"/>
          <w:szCs w:val="30"/>
          <w:lang w:eastAsia="zh-CN"/>
        </w:rPr>
        <w:t>期间</w:t>
      </w:r>
      <w:r>
        <w:rPr>
          <w:rFonts w:hint="eastAsia" w:ascii="仿宋_GB2312" w:hAnsi="仿宋" w:eastAsia="仿宋_GB2312" w:cs="仿宋_GB2312"/>
          <w:sz w:val="30"/>
          <w:szCs w:val="30"/>
          <w:lang w:eastAsia="zh-CN"/>
        </w:rPr>
        <w:t>，学校对各专业进行中期评估</w:t>
      </w:r>
      <w:r>
        <w:rPr>
          <w:rFonts w:hint="eastAsia" w:ascii="仿宋_GB2312" w:hAnsi="仿宋" w:eastAsia="仿宋_GB2312" w:cs="Times New Roman"/>
          <w:kern w:val="2"/>
          <w:sz w:val="30"/>
          <w:szCs w:val="30"/>
          <w:lang w:eastAsia="zh-CN"/>
        </w:rPr>
        <w:t>。</w:t>
      </w:r>
      <w:r>
        <w:rPr>
          <w:rFonts w:hint="eastAsia" w:ascii="仿宋_GB2312" w:hAnsi="仿宋" w:eastAsia="仿宋_GB2312" w:cs="仿宋_GB2312"/>
          <w:sz w:val="30"/>
          <w:szCs w:val="30"/>
          <w:lang w:eastAsia="zh-CN"/>
        </w:rPr>
        <w:t>评估内容包括目标任务完成情况、预算执行情况、绩效分析以及建设中存在的主要问题等。中期评估可采用第三方评估等方式进行。学校将根据评估结果对后续建设内容进行必要的调整，对于预算执行缓慢或与绩效目标存在较大偏差的专业，将依据实际情况减少或暂停建设经费支持。</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宋体"/>
          <w:kern w:val="0"/>
          <w:sz w:val="30"/>
          <w:szCs w:val="30"/>
          <w:lang w:val="en-US"/>
        </w:rPr>
      </w:pPr>
      <w:bookmarkStart w:id="0" w:name="_Hlk61966122"/>
      <w:r>
        <w:rPr>
          <w:rFonts w:hint="eastAsia" w:ascii="仿宋_GB2312" w:hAnsi="仿宋" w:eastAsia="仿宋_GB2312" w:cs="宋体"/>
          <w:b/>
          <w:bCs w:val="0"/>
          <w:kern w:val="0"/>
          <w:sz w:val="30"/>
          <w:szCs w:val="30"/>
          <w:lang w:val="en-US" w:eastAsia="zh-CN" w:bidi="ar"/>
        </w:rPr>
        <w:t xml:space="preserve">第十九条 </w:t>
      </w:r>
      <w:r>
        <w:rPr>
          <w:rFonts w:hint="eastAsia" w:ascii="仿宋_GB2312" w:hAnsi="仿宋" w:eastAsia="仿宋_GB2312" w:cs="宋体"/>
          <w:kern w:val="0"/>
          <w:sz w:val="30"/>
          <w:szCs w:val="30"/>
          <w:lang w:val="en-US" w:eastAsia="zh-CN" w:bidi="ar"/>
        </w:rPr>
        <w:t>建设期末，学校组织校内外专家对各专业进行全面验收和评估，同时，省级以上一流专业须接受上级有关部门的验收评估。验收评估结果将作为学校新一轮一流专业建设的重要参考，学校将结合专业实际情况，进一步调整优化专业建设布局，持续推动一流专业建设。</w:t>
      </w:r>
    </w:p>
    <w:bookmarkEnd w:id="0"/>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sz w:val="30"/>
          <w:szCs w:val="30"/>
          <w:lang w:val="en-US"/>
        </w:rPr>
      </w:pPr>
      <w:r>
        <w:rPr>
          <w:rFonts w:hint="eastAsia" w:ascii="宋体" w:hAnsi="宋体" w:eastAsia="宋体" w:cs="仿宋_GB2312"/>
          <w:b/>
          <w:kern w:val="2"/>
          <w:sz w:val="30"/>
          <w:szCs w:val="30"/>
          <w:lang w:val="en-US" w:eastAsia="zh-CN" w:bidi="ar"/>
        </w:rPr>
        <w:t>第八章  附  则</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第二十条 </w:t>
      </w:r>
      <w:r>
        <w:rPr>
          <w:rFonts w:hint="eastAsia" w:ascii="仿宋_GB2312" w:hAnsi="仿宋" w:eastAsia="仿宋_GB2312" w:cs="仿宋_GB2312"/>
          <w:kern w:val="2"/>
          <w:sz w:val="30"/>
          <w:szCs w:val="30"/>
          <w:lang w:val="en-US" w:eastAsia="zh-CN" w:bidi="ar"/>
        </w:rPr>
        <w:t>本办法若与上级主管部门最新有关文件不一致处，以上级主管部门政策文件为准。</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第二十一条</w:t>
      </w:r>
      <w:r>
        <w:rPr>
          <w:rFonts w:hint="eastAsia" w:ascii="仿宋_GB2312" w:hAnsi="仿宋" w:eastAsia="仿宋_GB2312" w:cs="仿宋_GB2312"/>
          <w:kern w:val="2"/>
          <w:sz w:val="30"/>
          <w:szCs w:val="30"/>
          <w:lang w:val="en-US" w:eastAsia="zh-CN" w:bidi="ar"/>
        </w:rPr>
        <w:t xml:space="preserve"> 本办法自颁布之日起实施，由教务处负责解释。</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r>
        <w:rPr>
          <w:rFonts w:hint="eastAsia" w:ascii="仿宋_GB2312" w:hAnsi="仿宋" w:eastAsia="仿宋_GB2312" w:cs="Times New Roman"/>
          <w:kern w:val="2"/>
          <w:sz w:val="30"/>
          <w:szCs w:val="30"/>
          <w:lang w:val="en-US" w:eastAsia="zh-CN" w:bidi="ar"/>
        </w:rPr>
        <w:br w:type="page"/>
      </w:r>
      <w:bookmarkStart w:id="1" w:name="_Toc525899121"/>
      <w:r>
        <w:rPr>
          <w:rFonts w:hint="eastAsia" w:ascii="宋体" w:hAnsi="宋体" w:eastAsia="宋体" w:cs="宋体"/>
          <w:b/>
          <w:bCs w:val="0"/>
          <w:kern w:val="2"/>
          <w:sz w:val="44"/>
          <w:szCs w:val="44"/>
          <w:lang w:val="en-US" w:eastAsia="zh-CN" w:bidi="ar"/>
        </w:rPr>
        <w:t>宜春学院课程重修管理办法</w:t>
      </w:r>
      <w:bookmarkEnd w:id="1"/>
    </w:p>
    <w:p>
      <w:pPr>
        <w:keepNext w:val="0"/>
        <w:keepLines w:val="0"/>
        <w:widowControl w:val="0"/>
        <w:suppressLineNumbers w:val="0"/>
        <w:spacing w:before="0" w:beforeAutospacing="0" w:after="0" w:afterAutospacing="0"/>
        <w:ind w:left="0" w:right="0" w:firstLine="560" w:firstLineChars="200"/>
        <w:jc w:val="left"/>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为进一步加强课程重修管理，促进学风建设，提高教学质量，根据高等教育新发展与新要求，结合学校实际，特制定本办法。</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一、重修范围</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1.凡学生修读的必修课程和</w:t>
      </w:r>
      <w:r>
        <w:rPr>
          <w:rFonts w:hint="default" w:ascii="Calibri" w:hAnsi="Calibri" w:eastAsia="宋体" w:cs="Times New Roman"/>
          <w:kern w:val="2"/>
          <w:sz w:val="30"/>
          <w:szCs w:val="30"/>
          <w:lang w:val="en-US" w:eastAsia="zh-CN" w:bidi="ar"/>
        </w:rPr>
        <w:fldChar w:fldCharType="begin"/>
      </w:r>
      <w:r>
        <w:rPr>
          <w:rFonts w:hint="default" w:ascii="Calibri" w:hAnsi="Calibri" w:eastAsia="宋体" w:cs="Times New Roman"/>
          <w:kern w:val="2"/>
          <w:sz w:val="30"/>
          <w:szCs w:val="30"/>
          <w:lang w:val="en-US" w:eastAsia="zh-CN" w:bidi="ar"/>
        </w:rPr>
        <w:instrText xml:space="preserve"> HYPERLINK "http://www.baidu.com/s?wd=%E4%B8%93%E4%B8%9A%E9%99%90%E9%80%89%E8%AF%BE&amp;hl_tag=textlink&amp;tn=SE_hldp01350_v6v6zkg6" \t "_blank" </w:instrText>
      </w:r>
      <w:r>
        <w:rPr>
          <w:rFonts w:hint="default" w:ascii="Calibri" w:hAnsi="Calibri" w:eastAsia="宋体" w:cs="Times New Roman"/>
          <w:kern w:val="2"/>
          <w:sz w:val="30"/>
          <w:szCs w:val="30"/>
          <w:lang w:val="en-US" w:eastAsia="zh-CN" w:bidi="ar"/>
        </w:rPr>
        <w:fldChar w:fldCharType="separate"/>
      </w:r>
      <w:r>
        <w:rPr>
          <w:rStyle w:val="13"/>
          <w:rFonts w:hint="eastAsia" w:ascii="仿宋_GB2312" w:eastAsia="仿宋_GB2312" w:cs="仿宋_GB2312"/>
          <w:sz w:val="30"/>
          <w:szCs w:val="30"/>
          <w:lang w:val="en-US"/>
        </w:rPr>
        <w:t>专业选修课</w:t>
      </w:r>
      <w:r>
        <w:rPr>
          <w:rFonts w:hint="default" w:ascii="Calibri" w:hAnsi="Calibri" w:eastAsia="宋体" w:cs="Times New Roman"/>
          <w:kern w:val="2"/>
          <w:sz w:val="30"/>
          <w:szCs w:val="30"/>
          <w:lang w:val="en-US" w:eastAsia="zh-CN" w:bidi="ar"/>
        </w:rPr>
        <w:fldChar w:fldCharType="end"/>
      </w:r>
      <w:r>
        <w:rPr>
          <w:rFonts w:hint="eastAsia" w:ascii="仿宋_GB2312" w:hAnsi="Calibri" w:eastAsia="仿宋_GB2312" w:cs="仿宋_GB2312"/>
          <w:kern w:val="2"/>
          <w:sz w:val="30"/>
          <w:szCs w:val="30"/>
          <w:lang w:val="en-US" w:eastAsia="zh-CN" w:bidi="ar"/>
        </w:rPr>
        <w:t>程有下列情况之一者，需办理重修：</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（1）课程经补考后仍不合格者；</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（2）在课程考核中未办理缓考的无故缺考者；</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（3）课程考核资格审查中被取消参加考核资格者；</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（4）因课程考核违纪作弊或扰乱考试管理秩序，成绩被认定为零分，经教育后确有悔改表现者；</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（5）休学前有不及格课程者（以原人才培养方案为准）；</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（6）转专业前不达学年学期课程学分要求者。</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2．凡因特殊情况致使学生应重修而无法重修的课程，有下列情况之一者，可通过自修直接申请参加课程重修考核,课程考核视同课程重修管理。</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（1）因</w:t>
      </w:r>
      <w:r>
        <w:rPr>
          <w:rFonts w:hint="default" w:ascii="Calibri" w:hAnsi="Calibri" w:eastAsia="宋体" w:cs="Times New Roman"/>
          <w:kern w:val="2"/>
          <w:sz w:val="30"/>
          <w:szCs w:val="30"/>
          <w:lang w:val="en-US" w:eastAsia="zh-CN" w:bidi="ar"/>
        </w:rPr>
        <w:fldChar w:fldCharType="begin"/>
      </w:r>
      <w:r>
        <w:rPr>
          <w:rFonts w:hint="default" w:ascii="Calibri" w:hAnsi="Calibri" w:eastAsia="宋体" w:cs="Times New Roman"/>
          <w:kern w:val="2"/>
          <w:sz w:val="30"/>
          <w:szCs w:val="30"/>
          <w:lang w:val="en-US" w:eastAsia="zh-CN" w:bidi="ar"/>
        </w:rPr>
        <w:instrText xml:space="preserve"> HYPERLINK "http://www.baidu.com/s?wd=%E6%95%99%E5%AD%A6%E8%AE%A1%E5%88%92&amp;hl_tag=textlink&amp;tn=SE_hldp01350_v6v6zkg6" \t "_blank" </w:instrText>
      </w:r>
      <w:r>
        <w:rPr>
          <w:rFonts w:hint="default" w:ascii="Calibri" w:hAnsi="Calibri" w:eastAsia="宋体" w:cs="Times New Roman"/>
          <w:kern w:val="2"/>
          <w:sz w:val="30"/>
          <w:szCs w:val="30"/>
          <w:lang w:val="en-US" w:eastAsia="zh-CN" w:bidi="ar"/>
        </w:rPr>
        <w:fldChar w:fldCharType="separate"/>
      </w:r>
      <w:r>
        <w:rPr>
          <w:rStyle w:val="13"/>
          <w:rFonts w:hint="eastAsia" w:ascii="仿宋_GB2312" w:eastAsia="仿宋_GB2312" w:cs="仿宋_GB2312"/>
          <w:sz w:val="30"/>
          <w:szCs w:val="30"/>
          <w:lang w:val="en-US"/>
        </w:rPr>
        <w:t>教学计划</w:t>
      </w:r>
      <w:r>
        <w:rPr>
          <w:rFonts w:hint="default" w:ascii="Calibri" w:hAnsi="Calibri" w:eastAsia="宋体" w:cs="Times New Roman"/>
          <w:kern w:val="2"/>
          <w:sz w:val="30"/>
          <w:szCs w:val="30"/>
          <w:lang w:val="en-US" w:eastAsia="zh-CN" w:bidi="ar"/>
        </w:rPr>
        <w:fldChar w:fldCharType="end"/>
      </w:r>
      <w:r>
        <w:rPr>
          <w:rFonts w:hint="eastAsia" w:ascii="仿宋_GB2312" w:hAnsi="Calibri" w:eastAsia="仿宋_GB2312" w:cs="仿宋_GB2312"/>
          <w:kern w:val="2"/>
          <w:sz w:val="30"/>
          <w:szCs w:val="30"/>
          <w:lang w:val="en-US" w:eastAsia="zh-CN" w:bidi="ar"/>
        </w:rPr>
        <w:t>的修订或调整，须重修的课程被取消或课程名称、课程的学分发生变化而无法重修的；</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（2）本科生第七学期（五年制医学类第八学期、专科生第五学期）必修课程成绩不及格而第八学期（五年制医学类第九学期、专科生第六学期）未开设该门课程的。</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3.选修课程不及格或已选课未取得学分者，可申请重修或另选其他相应课程学习。</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4.对于休学、转专业和专升本的学生，其补修课程按重修处理。</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二、重修形式</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学校开设组班、跟班、自修三种重修方式，学生可根据自己的学习情况和学校教学安排情况选择其中一种方式重修。</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1.组班重修：同一课程重修人数20人（含）以上，原则上由开课教学院组织，教务处协调开设课程重修班，一般安排在</w:t>
      </w:r>
      <w:r>
        <w:rPr>
          <w:rFonts w:hint="default" w:ascii="Calibri" w:hAnsi="Calibri" w:eastAsia="宋体" w:cs="Times New Roman"/>
          <w:kern w:val="2"/>
          <w:sz w:val="30"/>
          <w:szCs w:val="30"/>
          <w:lang w:val="en-US" w:eastAsia="zh-CN" w:bidi="ar"/>
        </w:rPr>
        <w:fldChar w:fldCharType="begin"/>
      </w:r>
      <w:r>
        <w:rPr>
          <w:rFonts w:hint="default" w:ascii="Calibri" w:hAnsi="Calibri" w:eastAsia="宋体" w:cs="Times New Roman"/>
          <w:kern w:val="2"/>
          <w:sz w:val="30"/>
          <w:szCs w:val="30"/>
          <w:lang w:val="en-US" w:eastAsia="zh-CN" w:bidi="ar"/>
        </w:rPr>
        <w:instrText xml:space="preserve"> HYPERLINK "http://www.baidu.com/s?wd=%E5%8F%8C%E4%BC%91%E6%97%A5&amp;hl_tag=textlink&amp;tn=SE_hldp01350_v6v6zkg6" \t "_blank" </w:instrText>
      </w:r>
      <w:r>
        <w:rPr>
          <w:rFonts w:hint="default" w:ascii="Calibri" w:hAnsi="Calibri" w:eastAsia="宋体" w:cs="Times New Roman"/>
          <w:kern w:val="2"/>
          <w:sz w:val="30"/>
          <w:szCs w:val="30"/>
          <w:lang w:val="en-US" w:eastAsia="zh-CN" w:bidi="ar"/>
        </w:rPr>
        <w:fldChar w:fldCharType="separate"/>
      </w:r>
      <w:r>
        <w:rPr>
          <w:rStyle w:val="13"/>
          <w:rFonts w:hint="eastAsia" w:ascii="仿宋_GB2312" w:eastAsia="仿宋_GB2312" w:cs="仿宋_GB2312"/>
          <w:sz w:val="30"/>
          <w:szCs w:val="30"/>
          <w:lang w:val="en-US"/>
        </w:rPr>
        <w:t>双休日</w:t>
      </w:r>
      <w:r>
        <w:rPr>
          <w:rFonts w:hint="default" w:ascii="Calibri" w:hAnsi="Calibri" w:eastAsia="宋体" w:cs="Times New Roman"/>
          <w:kern w:val="2"/>
          <w:sz w:val="30"/>
          <w:szCs w:val="30"/>
          <w:lang w:val="en-US" w:eastAsia="zh-CN" w:bidi="ar"/>
        </w:rPr>
        <w:fldChar w:fldCharType="end"/>
      </w:r>
      <w:r>
        <w:rPr>
          <w:rFonts w:hint="eastAsia" w:ascii="仿宋_GB2312" w:hAnsi="Calibri" w:eastAsia="仿宋_GB2312" w:cs="仿宋_GB2312"/>
          <w:kern w:val="2"/>
          <w:sz w:val="30"/>
          <w:szCs w:val="30"/>
          <w:lang w:val="en-US" w:eastAsia="zh-CN" w:bidi="ar"/>
        </w:rPr>
        <w:t>或课余时间上课，学时数原则上不低于原课程学时的50%。重修班由开课教学院（单位）按正常教学班级进行管理。</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2.跟班重修：对不够组班重修的课程，学生可在规定时间内进入教务管理系统申请办理重修手续，并选择跟班选课的方式编入低年级</w:t>
      </w:r>
      <w:r>
        <w:rPr>
          <w:rFonts w:hint="default" w:ascii="Calibri" w:hAnsi="Calibri" w:eastAsia="宋体" w:cs="Times New Roman"/>
          <w:kern w:val="2"/>
          <w:sz w:val="30"/>
          <w:szCs w:val="30"/>
          <w:lang w:val="en-US" w:eastAsia="zh-CN" w:bidi="ar"/>
        </w:rPr>
        <w:fldChar w:fldCharType="begin"/>
      </w:r>
      <w:r>
        <w:rPr>
          <w:rFonts w:hint="default" w:ascii="Calibri" w:hAnsi="Calibri" w:eastAsia="宋体" w:cs="Times New Roman"/>
          <w:kern w:val="2"/>
          <w:sz w:val="30"/>
          <w:szCs w:val="30"/>
          <w:lang w:val="en-US" w:eastAsia="zh-CN" w:bidi="ar"/>
        </w:rPr>
        <w:instrText xml:space="preserve"> HYPERLINK "http://www.baidu.com/s?wd=%E5%90%8C%E9%97%A8&amp;hl_tag=textlink&amp;tn=SE_hldp01350_v6v6zkg6" \t "_blank" </w:instrText>
      </w:r>
      <w:r>
        <w:rPr>
          <w:rFonts w:hint="default" w:ascii="Calibri" w:hAnsi="Calibri" w:eastAsia="宋体" w:cs="Times New Roman"/>
          <w:kern w:val="2"/>
          <w:sz w:val="30"/>
          <w:szCs w:val="30"/>
          <w:lang w:val="en-US" w:eastAsia="zh-CN" w:bidi="ar"/>
        </w:rPr>
        <w:fldChar w:fldCharType="separate"/>
      </w:r>
      <w:r>
        <w:rPr>
          <w:rStyle w:val="13"/>
          <w:rFonts w:hint="eastAsia" w:ascii="仿宋_GB2312" w:eastAsia="仿宋_GB2312" w:cs="仿宋_GB2312"/>
          <w:sz w:val="30"/>
          <w:szCs w:val="30"/>
          <w:lang w:val="en-US"/>
        </w:rPr>
        <w:t>同门</w:t>
      </w:r>
      <w:r>
        <w:rPr>
          <w:rFonts w:hint="default" w:ascii="Calibri" w:hAnsi="Calibri" w:eastAsia="宋体" w:cs="Times New Roman"/>
          <w:kern w:val="2"/>
          <w:sz w:val="30"/>
          <w:szCs w:val="30"/>
          <w:lang w:val="en-US" w:eastAsia="zh-CN" w:bidi="ar"/>
        </w:rPr>
        <w:fldChar w:fldCharType="end"/>
      </w:r>
      <w:r>
        <w:rPr>
          <w:rFonts w:hint="eastAsia" w:ascii="仿宋_GB2312" w:hAnsi="Calibri" w:eastAsia="仿宋_GB2312" w:cs="仿宋_GB2312"/>
          <w:kern w:val="2"/>
          <w:sz w:val="30"/>
          <w:szCs w:val="30"/>
          <w:lang w:val="en-US" w:eastAsia="zh-CN" w:bidi="ar"/>
        </w:rPr>
        <w:t>课程所在班级听课学习。相关教学院应及时通知任课教师做好考勤。</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3.自修重修：学生重修上课时间若与正常上课时间冲突，或受学年限制等原因而不能随低年级相应课程学习者，可采取学生自学、教师辅导、答疑的方式进行重修，自修时间需至少满两个月以上。</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三、重修次数的规定</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1.对于补考不及格的必修课程，每门课程在校期间仅一次重修机会。对于休学、转专业和专升本的学生，其补修课程未通过，还可进行一次重修。</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2.因特殊原因不能参加重修考试者，办理缓考手续后，可直接参加下学期期初补考时安排的该门课程考试。</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eastAsia="仿宋_GB2312" w:cs="仿宋_GB2312"/>
          <w:sz w:val="30"/>
          <w:szCs w:val="30"/>
          <w:lang w:val="en-US"/>
        </w:rPr>
      </w:pP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四、重修手续的办理</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1.重修申报时间为每学期的第4～5周。</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2.重修课程申报要求：原则上重修课程尽量在就读专业开设该课程的下一学年对应学期（单学期对应单学期，双学期对应双学期）申报；本科生第1、2、3、4学期（医学类第1、2、3、4、5、6学期，专科生第1、2学期）课程最迟于第5、6学期（医学类第7、8学期，专科生第3、4学期）申报；本科生第7、8学期（医学类第9、10学期，专科生第5、6学期）只接受第5、6学期（医学类第7、8学期，专科生第3、4学期）的课程申报。</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3.申报流程：</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1）学生在规定的时间内登录教务管理系统，申请重（补）修报名后，选择跟班重修（选课）或是跟班重修（选课自修）。对于休学、转专业和专升本的学生，其所学部分课程因人才培养方案变更确不能在教务管理系统中申请重修的，应及时填写《宜春学院重修考试申请表》，交学生所在教学院教务科审核，院教务科整理《休学、转专业和专升本重修学生名单汇总表》报学校教务处办理重修报名。</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（2）教务处从系统中下载学生重修报名名单，并下发至各教学院。教学院审核确定报名学生是否具有本学期课程重修考试资格，于第7周前将审核结果报送教务处。</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（3）开课教学院在汇总重修学生名单后，会同教务处对重修学生的教学做出安排，落实重修课程教学任务，编排重修课程课表，并将重修</w:t>
      </w:r>
      <w:r>
        <w:rPr>
          <w:rFonts w:hint="default" w:ascii="Calibri" w:hAnsi="Calibri" w:eastAsia="宋体" w:cs="Times New Roman"/>
          <w:kern w:val="2"/>
          <w:sz w:val="30"/>
          <w:szCs w:val="30"/>
          <w:lang w:val="en-US" w:eastAsia="zh-CN" w:bidi="ar"/>
        </w:rPr>
        <w:fldChar w:fldCharType="begin"/>
      </w:r>
      <w:r>
        <w:rPr>
          <w:rFonts w:hint="default" w:ascii="Calibri" w:hAnsi="Calibri" w:eastAsia="宋体" w:cs="Times New Roman"/>
          <w:kern w:val="2"/>
          <w:sz w:val="30"/>
          <w:szCs w:val="30"/>
          <w:lang w:val="en-US" w:eastAsia="zh-CN" w:bidi="ar"/>
        </w:rPr>
        <w:instrText xml:space="preserve"> HYPERLINK "http://www.baidu.com/s?wd=%E8%AF%BE%E7%A8%8B%E8%A1%A8&amp;hl_tag=textlink&amp;tn=SE_hldp01350_v6v6zkg6" \t "_blank" </w:instrText>
      </w:r>
      <w:r>
        <w:rPr>
          <w:rFonts w:hint="default" w:ascii="Calibri" w:hAnsi="Calibri" w:eastAsia="宋体" w:cs="Times New Roman"/>
          <w:kern w:val="2"/>
          <w:sz w:val="30"/>
          <w:szCs w:val="30"/>
          <w:lang w:val="en-US" w:eastAsia="zh-CN" w:bidi="ar"/>
        </w:rPr>
        <w:fldChar w:fldCharType="separate"/>
      </w:r>
      <w:r>
        <w:rPr>
          <w:rStyle w:val="13"/>
          <w:rFonts w:hint="eastAsia" w:ascii="仿宋_GB2312" w:eastAsia="仿宋_GB2312" w:cs="仿宋_GB2312"/>
          <w:sz w:val="30"/>
          <w:szCs w:val="30"/>
          <w:lang w:val="en-US"/>
        </w:rPr>
        <w:t>课程表</w:t>
      </w:r>
      <w:r>
        <w:rPr>
          <w:rFonts w:hint="default" w:ascii="Calibri" w:hAnsi="Calibri" w:eastAsia="宋体" w:cs="Times New Roman"/>
          <w:kern w:val="2"/>
          <w:sz w:val="30"/>
          <w:szCs w:val="30"/>
          <w:lang w:val="en-US" w:eastAsia="zh-CN" w:bidi="ar"/>
        </w:rPr>
        <w:fldChar w:fldCharType="end"/>
      </w:r>
      <w:r>
        <w:rPr>
          <w:rFonts w:hint="eastAsia" w:ascii="仿宋_GB2312" w:hAnsi="Calibri" w:eastAsia="仿宋_GB2312" w:cs="仿宋_GB2312"/>
          <w:kern w:val="2"/>
          <w:sz w:val="30"/>
          <w:szCs w:val="30"/>
          <w:lang w:val="en-US" w:eastAsia="zh-CN" w:bidi="ar"/>
        </w:rPr>
        <w:t>反馈给学生所在教学院，由学生所在教学院通知学生本人。</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五、重修课程的考核</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1.学生的重修课程考核一般随下一年级同类课程进行，不单独安排。各教学院在安排正常课程考试时，必须将参加本课程重修考试的学生人数统计在内，同时按年级错开考试时间，尽量避免重修学生与正常主修课程在考试时间上的冲突。</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2.学生重修课程考试需在正常课程考试中安排进行，但最多安排三门，其他重修课程可安排在下学期的期初补考中进行。</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3.当重修课程考试时间与正常主修课程考试时间发生冲突时，学生应参加正常主修课程考试。因考试时间发生冲突而未能参加重修课程考试，应到教学院教务科办理缓考手续，报教务处审批后。可直接参加在下学期期初补考时安排的该门课程考试。</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4.对组班重修的学生，重修课程的考试一般集中安排考场，或将参加重修的学生集中安排在某个考区的考场参加考试。</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5.凡参加重修课程考试的学生，必须携带身份证、学生证参加考试，证件不全或未办理重修手续者，不得参加重修考试。</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6.重修课程成绩的记载</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（1）组班重修和跟班重修者，任课教师在登记成绩时，应根据其平时成绩和考试成绩计算出综合成绩。所有重修学生的成绩均由承担重修教学（辅导）任务的教师登录教务管理系统录入。</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（2）自修重修者，由教学院教务科老师登录教务管理系统录入，在登记成绩时将考试成绩作为综合成绩。</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（3）重修课</w:t>
      </w:r>
      <w:r>
        <w:rPr>
          <w:rFonts w:hint="default" w:ascii="Calibri" w:hAnsi="Calibri" w:eastAsia="宋体" w:cs="Times New Roman"/>
          <w:kern w:val="2"/>
          <w:sz w:val="30"/>
          <w:szCs w:val="30"/>
          <w:lang w:val="en-US" w:eastAsia="zh-CN" w:bidi="ar"/>
        </w:rPr>
        <w:fldChar w:fldCharType="begin"/>
      </w:r>
      <w:r>
        <w:rPr>
          <w:rFonts w:hint="default" w:ascii="Calibri" w:hAnsi="Calibri" w:eastAsia="宋体" w:cs="Times New Roman"/>
          <w:kern w:val="2"/>
          <w:sz w:val="30"/>
          <w:szCs w:val="30"/>
          <w:lang w:val="en-US" w:eastAsia="zh-CN" w:bidi="ar"/>
        </w:rPr>
        <w:instrText xml:space="preserve"> HYPERLINK "http://www.baidu.com/s?wd=%E7%A8%8B%E6%88%90&amp;hl_tag=textlink&amp;tn=SE_hldp01350_v6v6zkg6" \t "_blank" </w:instrText>
      </w:r>
      <w:r>
        <w:rPr>
          <w:rFonts w:hint="default" w:ascii="Calibri" w:hAnsi="Calibri" w:eastAsia="宋体" w:cs="Times New Roman"/>
          <w:kern w:val="2"/>
          <w:sz w:val="30"/>
          <w:szCs w:val="30"/>
          <w:lang w:val="en-US" w:eastAsia="zh-CN" w:bidi="ar"/>
        </w:rPr>
        <w:fldChar w:fldCharType="separate"/>
      </w:r>
      <w:r>
        <w:rPr>
          <w:rStyle w:val="13"/>
          <w:rFonts w:hint="eastAsia" w:ascii="仿宋_GB2312" w:eastAsia="仿宋_GB2312" w:cs="仿宋_GB2312"/>
          <w:color w:val="auto"/>
          <w:sz w:val="30"/>
          <w:szCs w:val="30"/>
          <w:lang w:val="en-US"/>
        </w:rPr>
        <w:t>程成</w:t>
      </w:r>
      <w:r>
        <w:rPr>
          <w:rFonts w:hint="default" w:ascii="Calibri" w:hAnsi="Calibri" w:eastAsia="宋体" w:cs="Times New Roman"/>
          <w:kern w:val="2"/>
          <w:sz w:val="30"/>
          <w:szCs w:val="30"/>
          <w:lang w:val="en-US" w:eastAsia="zh-CN" w:bidi="ar"/>
        </w:rPr>
        <w:fldChar w:fldCharType="end"/>
      </w:r>
      <w:r>
        <w:rPr>
          <w:rFonts w:hint="eastAsia" w:ascii="仿宋_GB2312" w:hAnsi="Calibri" w:eastAsia="仿宋_GB2312" w:cs="仿宋_GB2312"/>
          <w:kern w:val="2"/>
          <w:sz w:val="30"/>
          <w:szCs w:val="30"/>
          <w:lang w:val="en-US" w:eastAsia="zh-CN" w:bidi="ar"/>
        </w:rPr>
        <w:t>绩合格者，在</w:t>
      </w:r>
      <w:r>
        <w:rPr>
          <w:rFonts w:hint="default" w:ascii="Calibri" w:hAnsi="Calibri" w:eastAsia="宋体" w:cs="Times New Roman"/>
          <w:kern w:val="2"/>
          <w:sz w:val="30"/>
          <w:szCs w:val="30"/>
          <w:lang w:val="en-US" w:eastAsia="zh-CN" w:bidi="ar"/>
        </w:rPr>
        <w:fldChar w:fldCharType="begin"/>
      </w:r>
      <w:r>
        <w:rPr>
          <w:rFonts w:hint="default" w:ascii="Calibri" w:hAnsi="Calibri" w:eastAsia="宋体" w:cs="Times New Roman"/>
          <w:kern w:val="2"/>
          <w:sz w:val="30"/>
          <w:szCs w:val="30"/>
          <w:lang w:val="en-US" w:eastAsia="zh-CN" w:bidi="ar"/>
        </w:rPr>
        <w:instrText xml:space="preserve"> HYPERLINK "http://www.baidu.com/s?wd=%E6%95%99%E5%8A%A1%E7%AE%A1%E7%90%86%E7%B3%BB%E7%BB%9F&amp;hl_tag=textlink&amp;tn=SE_hldp01350_v6v6zkg6" \t "_blank" </w:instrText>
      </w:r>
      <w:r>
        <w:rPr>
          <w:rFonts w:hint="default" w:ascii="Calibri" w:hAnsi="Calibri" w:eastAsia="宋体" w:cs="Times New Roman"/>
          <w:kern w:val="2"/>
          <w:sz w:val="30"/>
          <w:szCs w:val="30"/>
          <w:lang w:val="en-US" w:eastAsia="zh-CN" w:bidi="ar"/>
        </w:rPr>
        <w:fldChar w:fldCharType="separate"/>
      </w:r>
      <w:r>
        <w:rPr>
          <w:rStyle w:val="13"/>
          <w:rFonts w:hint="eastAsia" w:ascii="仿宋_GB2312" w:eastAsia="仿宋_GB2312" w:cs="仿宋_GB2312"/>
          <w:color w:val="auto"/>
          <w:sz w:val="30"/>
          <w:szCs w:val="30"/>
          <w:lang w:val="en-US"/>
        </w:rPr>
        <w:t>教务管理系统</w:t>
      </w:r>
      <w:r>
        <w:rPr>
          <w:rFonts w:hint="default" w:ascii="Calibri" w:hAnsi="Calibri" w:eastAsia="宋体" w:cs="Times New Roman"/>
          <w:kern w:val="2"/>
          <w:sz w:val="30"/>
          <w:szCs w:val="30"/>
          <w:lang w:val="en-US" w:eastAsia="zh-CN" w:bidi="ar"/>
        </w:rPr>
        <w:fldChar w:fldCharType="end"/>
      </w:r>
      <w:r>
        <w:rPr>
          <w:rFonts w:hint="eastAsia" w:ascii="仿宋_GB2312" w:hAnsi="Calibri" w:eastAsia="仿宋_GB2312" w:cs="仿宋_GB2312"/>
          <w:kern w:val="2"/>
          <w:sz w:val="30"/>
          <w:szCs w:val="30"/>
          <w:lang w:val="en-US" w:eastAsia="zh-CN" w:bidi="ar"/>
        </w:rPr>
        <w:t>中，重修成绩据实记载，但不覆盖原有成绩，并标明“重修”字样；在学生成绩单中记录最高成绩，并给予相应的学分和</w:t>
      </w:r>
      <w:r>
        <w:rPr>
          <w:rFonts w:hint="default" w:ascii="Calibri" w:hAnsi="Calibri" w:eastAsia="宋体" w:cs="Times New Roman"/>
          <w:kern w:val="2"/>
          <w:sz w:val="30"/>
          <w:szCs w:val="30"/>
          <w:lang w:val="en-US" w:eastAsia="zh-CN" w:bidi="ar"/>
        </w:rPr>
        <w:fldChar w:fldCharType="begin"/>
      </w:r>
      <w:r>
        <w:rPr>
          <w:rFonts w:hint="default" w:ascii="Calibri" w:hAnsi="Calibri" w:eastAsia="宋体" w:cs="Times New Roman"/>
          <w:kern w:val="2"/>
          <w:sz w:val="30"/>
          <w:szCs w:val="30"/>
          <w:lang w:val="en-US" w:eastAsia="zh-CN" w:bidi="ar"/>
        </w:rPr>
        <w:instrText xml:space="preserve"> HYPERLINK "http://www.baidu.com/s?wd=%E5%AD%A6%E5%88%86%E7%BB%A9&amp;hl_tag=textlink&amp;tn=SE_hldp01350_v6v6zkg6" \t "_blank" </w:instrText>
      </w:r>
      <w:r>
        <w:rPr>
          <w:rFonts w:hint="default" w:ascii="Calibri" w:hAnsi="Calibri" w:eastAsia="宋体" w:cs="Times New Roman"/>
          <w:kern w:val="2"/>
          <w:sz w:val="30"/>
          <w:szCs w:val="30"/>
          <w:lang w:val="en-US" w:eastAsia="zh-CN" w:bidi="ar"/>
        </w:rPr>
        <w:fldChar w:fldCharType="separate"/>
      </w:r>
      <w:r>
        <w:rPr>
          <w:rStyle w:val="13"/>
          <w:rFonts w:hint="eastAsia" w:ascii="仿宋_GB2312" w:eastAsia="仿宋_GB2312" w:cs="仿宋_GB2312"/>
          <w:color w:val="auto"/>
          <w:sz w:val="30"/>
          <w:szCs w:val="30"/>
          <w:lang w:val="en-US"/>
        </w:rPr>
        <w:t>学分绩</w:t>
      </w:r>
      <w:r>
        <w:rPr>
          <w:rFonts w:hint="default" w:ascii="Calibri" w:hAnsi="Calibri" w:eastAsia="宋体" w:cs="Times New Roman"/>
          <w:kern w:val="2"/>
          <w:sz w:val="30"/>
          <w:szCs w:val="30"/>
          <w:lang w:val="en-US" w:eastAsia="zh-CN" w:bidi="ar"/>
        </w:rPr>
        <w:fldChar w:fldCharType="end"/>
      </w:r>
      <w:r>
        <w:rPr>
          <w:rFonts w:hint="eastAsia" w:ascii="仿宋_GB2312" w:hAnsi="Calibri" w:eastAsia="仿宋_GB2312" w:cs="仿宋_GB2312"/>
          <w:kern w:val="2"/>
          <w:sz w:val="30"/>
          <w:szCs w:val="30"/>
          <w:lang w:val="en-US" w:eastAsia="zh-CN" w:bidi="ar"/>
        </w:rPr>
        <w:t>点。</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（4）凡已办理重修手续而无故不参加该门课程考核者，以无故缺考处理，成绩以零分计，之后不能再进行重修。</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六、承担重修课程教学的教师职责</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1.认真执行重修课程教学任务，严格要求学生，加强重修课程的过程考核。</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2.按要求制订重修课程教学（辅导）授课计划及</w:t>
      </w:r>
      <w:r>
        <w:rPr>
          <w:rFonts w:hint="default" w:ascii="Calibri" w:hAnsi="Calibri" w:eastAsia="宋体" w:cs="Times New Roman"/>
          <w:kern w:val="2"/>
          <w:sz w:val="30"/>
          <w:szCs w:val="30"/>
          <w:lang w:val="en-US" w:eastAsia="zh-CN" w:bidi="ar"/>
        </w:rPr>
        <w:fldChar w:fldCharType="begin"/>
      </w:r>
      <w:r>
        <w:rPr>
          <w:rFonts w:hint="default" w:ascii="Calibri" w:hAnsi="Calibri" w:eastAsia="宋体" w:cs="Times New Roman"/>
          <w:kern w:val="2"/>
          <w:sz w:val="30"/>
          <w:szCs w:val="30"/>
          <w:lang w:val="en-US" w:eastAsia="zh-CN" w:bidi="ar"/>
        </w:rPr>
        <w:instrText xml:space="preserve"> HYPERLINK "http://www.baidu.com/s?wd=%E6%95%99%E6%A1%88&amp;hl_tag=textlink&amp;tn=SE_hldp01350_v6v6zkg6" \t "_blank" </w:instrText>
      </w:r>
      <w:r>
        <w:rPr>
          <w:rFonts w:hint="default" w:ascii="Calibri" w:hAnsi="Calibri" w:eastAsia="宋体" w:cs="Times New Roman"/>
          <w:kern w:val="2"/>
          <w:sz w:val="30"/>
          <w:szCs w:val="30"/>
          <w:lang w:val="en-US" w:eastAsia="zh-CN" w:bidi="ar"/>
        </w:rPr>
        <w:fldChar w:fldCharType="separate"/>
      </w:r>
      <w:r>
        <w:rPr>
          <w:rStyle w:val="13"/>
          <w:rFonts w:hint="eastAsia" w:ascii="仿宋_GB2312" w:eastAsia="仿宋_GB2312" w:cs="仿宋_GB2312"/>
          <w:sz w:val="30"/>
          <w:szCs w:val="30"/>
          <w:lang w:val="en-US"/>
        </w:rPr>
        <w:t>教案</w:t>
      </w:r>
      <w:r>
        <w:rPr>
          <w:rFonts w:hint="default" w:ascii="Calibri" w:hAnsi="Calibri" w:eastAsia="宋体" w:cs="Times New Roman"/>
          <w:kern w:val="2"/>
          <w:sz w:val="30"/>
          <w:szCs w:val="30"/>
          <w:lang w:val="en-US" w:eastAsia="zh-CN" w:bidi="ar"/>
        </w:rPr>
        <w:fldChar w:fldCharType="end"/>
      </w:r>
      <w:r>
        <w:rPr>
          <w:rFonts w:hint="eastAsia" w:ascii="仿宋_GB2312" w:hAnsi="Calibri" w:eastAsia="仿宋_GB2312" w:cs="仿宋_GB2312"/>
          <w:kern w:val="2"/>
          <w:sz w:val="30"/>
          <w:szCs w:val="30"/>
          <w:lang w:val="en-US" w:eastAsia="zh-CN" w:bidi="ar"/>
        </w:rPr>
        <w:t>，根据教材，以精讲为主，加强辅导。</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3.按要求布置作业，认真批改作业，讲解作业中存在的问题。</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4.按考试规定做好命题、阅卷、成绩录入、试卷归档等工作。</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黑体" w:hAnsi="宋体" w:eastAsia="黑体" w:cs="黑体"/>
          <w:kern w:val="2"/>
          <w:sz w:val="30"/>
          <w:szCs w:val="30"/>
          <w:lang w:val="en-US" w:eastAsia="zh-CN" w:bidi="ar"/>
        </w:rPr>
        <w:t>七、教师教学工作量计算</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宋体" w:hAnsi="宋体" w:eastAsia="宋体" w:cs="宋体"/>
          <w:b/>
          <w:bCs w:val="0"/>
          <w:sz w:val="30"/>
          <w:szCs w:val="30"/>
          <w:lang w:val="en-US"/>
        </w:rPr>
      </w:pPr>
      <w:r>
        <w:rPr>
          <w:rFonts w:hint="eastAsia" w:ascii="仿宋_GB2312" w:hAnsi="Calibri" w:eastAsia="仿宋_GB2312" w:cs="仿宋_GB2312"/>
          <w:kern w:val="2"/>
          <w:sz w:val="30"/>
          <w:szCs w:val="30"/>
          <w:lang w:val="en-US" w:eastAsia="zh-CN" w:bidi="ar"/>
        </w:rPr>
        <w:t>承担了重修课程教学任务的教师教学工作量按正常教学周上课工作量计算，并计入年终教学工作量。</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八、重修课程收费管理</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重修课程收费按上级部门和学校有关精神执行。</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九、其它</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1. 本办法自2020级起执行。</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2. 本办法由教务处负责解释，原《宜春学院课程重修管理暂行办法》在2019级执行完后废止。</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44"/>
          <w:szCs w:val="44"/>
          <w:lang w:val="en-US"/>
        </w:rPr>
      </w:pPr>
      <w:r>
        <w:rPr>
          <w:rFonts w:hint="eastAsia" w:ascii="仿宋_GB2312" w:hAnsi="Calibri" w:eastAsia="仿宋_GB2312" w:cs="Times New Roman"/>
          <w:kern w:val="2"/>
          <w:sz w:val="28"/>
          <w:szCs w:val="28"/>
          <w:lang w:val="en-US" w:eastAsia="zh-CN" w:bidi="ar"/>
        </w:rPr>
        <w:br w:type="page"/>
      </w:r>
      <w:r>
        <w:rPr>
          <w:rFonts w:hint="eastAsia" w:ascii="宋体" w:hAnsi="宋体" w:eastAsia="宋体" w:cs="宋体"/>
          <w:b/>
          <w:kern w:val="2"/>
          <w:sz w:val="44"/>
          <w:szCs w:val="44"/>
          <w:lang w:val="en-US" w:eastAsia="zh-CN" w:bidi="ar"/>
        </w:rPr>
        <w:t>宜春学院金课建设与管理暂行办法</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仿宋"/>
          <w:bCs/>
          <w:sz w:val="30"/>
          <w:szCs w:val="30"/>
          <w:lang w:val="en-US"/>
        </w:rPr>
      </w:pPr>
      <w:r>
        <w:rPr>
          <w:rFonts w:hint="eastAsia" w:ascii="黑体" w:hAnsi="宋体" w:eastAsia="黑体" w:cs="仿宋"/>
          <w:bCs/>
          <w:kern w:val="2"/>
          <w:sz w:val="30"/>
          <w:szCs w:val="30"/>
          <w:lang w:val="en-US" w:eastAsia="zh-CN" w:bidi="ar"/>
        </w:rPr>
        <w:t>第一章  总  则</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sz w:val="30"/>
          <w:szCs w:val="30"/>
          <w:lang w:val="en-US"/>
        </w:rPr>
      </w:pPr>
      <w:r>
        <w:rPr>
          <w:rFonts w:hint="eastAsia" w:ascii="仿宋_GB2312" w:hAnsi="仿宋" w:eastAsia="仿宋_GB2312" w:cs="仿宋"/>
          <w:b/>
          <w:bCs w:val="0"/>
          <w:kern w:val="2"/>
          <w:sz w:val="30"/>
          <w:szCs w:val="30"/>
          <w:lang w:val="en-US" w:eastAsia="zh-CN" w:bidi="ar"/>
        </w:rPr>
        <w:t xml:space="preserve">第一条 </w:t>
      </w:r>
      <w:r>
        <w:rPr>
          <w:rFonts w:hint="eastAsia" w:ascii="仿宋_GB2312" w:hAnsi="仿宋" w:eastAsia="仿宋_GB2312" w:cs="仿宋"/>
          <w:bCs/>
          <w:kern w:val="2"/>
          <w:sz w:val="30"/>
          <w:szCs w:val="30"/>
          <w:lang w:val="en-US" w:eastAsia="zh-CN" w:bidi="ar"/>
        </w:rPr>
        <w:t>根据《教育部关于一流本科课程建设的实施意见》（教高〔2019〕8号）文件精神，为推进学校一流课程建设，做好</w:t>
      </w:r>
      <w:r>
        <w:rPr>
          <w:rFonts w:hint="eastAsia" w:ascii="仿宋_GB2312" w:hAnsi="仿宋" w:eastAsia="仿宋_GB2312" w:cs="仿宋"/>
          <w:kern w:val="2"/>
          <w:sz w:val="30"/>
          <w:szCs w:val="30"/>
          <w:lang w:val="en-US" w:eastAsia="zh-CN" w:bidi="ar"/>
        </w:rPr>
        <w:t>一流课程（“金课”）的培育、建设和管理，特制订本暂行办法。</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bCs/>
          <w:sz w:val="30"/>
          <w:szCs w:val="30"/>
          <w:lang w:val="en-US"/>
        </w:rPr>
      </w:pPr>
      <w:r>
        <w:rPr>
          <w:rFonts w:hint="eastAsia" w:ascii="仿宋_GB2312" w:hAnsi="仿宋" w:eastAsia="仿宋_GB2312" w:cs="仿宋"/>
          <w:b/>
          <w:bCs w:val="0"/>
          <w:kern w:val="2"/>
          <w:sz w:val="30"/>
          <w:szCs w:val="30"/>
          <w:lang w:val="en-US" w:eastAsia="zh-CN" w:bidi="ar"/>
        </w:rPr>
        <w:t>第二条</w:t>
      </w:r>
      <w:r>
        <w:rPr>
          <w:rFonts w:hint="eastAsia" w:ascii="仿宋_GB2312" w:hAnsi="仿宋" w:eastAsia="仿宋_GB2312" w:cs="仿宋"/>
          <w:bCs/>
          <w:kern w:val="2"/>
          <w:sz w:val="30"/>
          <w:szCs w:val="30"/>
          <w:lang w:val="en-US" w:eastAsia="zh-CN" w:bidi="ar"/>
        </w:rPr>
        <w:t xml:space="preserve"> 建设目标：以习近平新时代中国特色社会主义思想为指导，全面贯彻党的十九大精神和党的教育方针，贯彻落实全国教育大会、新时代全国高等学校本科教育工作会议等会议精神，以立德树人为根本任务，以课程建设为抓手，坚持“学生中心、产出导向、持续改进”，着力提升课程教学的“含金量”，培养品德优良、知识丰富、本领过硬的“五有”人才。</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bCs/>
          <w:sz w:val="30"/>
          <w:szCs w:val="30"/>
          <w:lang w:val="en-US"/>
        </w:rPr>
      </w:pPr>
      <w:r>
        <w:rPr>
          <w:rFonts w:hint="eastAsia" w:ascii="仿宋_GB2312" w:hAnsi="仿宋" w:eastAsia="仿宋_GB2312" w:cs="仿宋"/>
          <w:b/>
          <w:kern w:val="2"/>
          <w:sz w:val="30"/>
          <w:szCs w:val="30"/>
          <w:lang w:val="en-US" w:eastAsia="zh-CN" w:bidi="ar"/>
        </w:rPr>
        <w:t>第三条</w:t>
      </w:r>
      <w:r>
        <w:rPr>
          <w:rFonts w:hint="eastAsia" w:ascii="仿宋_GB2312" w:hAnsi="仿宋" w:eastAsia="仿宋_GB2312" w:cs="仿宋"/>
          <w:kern w:val="2"/>
          <w:sz w:val="30"/>
          <w:szCs w:val="30"/>
          <w:lang w:val="en-US" w:eastAsia="zh-CN" w:bidi="ar"/>
        </w:rPr>
        <w:t xml:space="preserve"> 课程建设类型包括：课程思政示范课、精品在线开放课程、线下金课、线上线下混合式金课、实践金课、实验金课等类型。</w:t>
      </w:r>
    </w:p>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仿宋"/>
          <w:bCs/>
          <w:sz w:val="30"/>
          <w:szCs w:val="30"/>
          <w:lang w:val="en-US"/>
        </w:rPr>
      </w:pPr>
      <w:r>
        <w:rPr>
          <w:rFonts w:hint="eastAsia" w:ascii="黑体" w:hAnsi="宋体" w:eastAsia="黑体" w:cs="仿宋"/>
          <w:bCs/>
          <w:kern w:val="2"/>
          <w:sz w:val="30"/>
          <w:szCs w:val="30"/>
          <w:lang w:val="en-US" w:eastAsia="zh-CN" w:bidi="ar"/>
        </w:rPr>
        <w:t>第二章  申报与立项</w:t>
      </w:r>
    </w:p>
    <w:p>
      <w:pPr>
        <w:keepNext w:val="0"/>
        <w:keepLines w:val="0"/>
        <w:widowControl w:val="0"/>
        <w:suppressLineNumbers w:val="0"/>
        <w:spacing w:before="0" w:beforeAutospacing="0" w:after="0" w:afterAutospacing="0" w:line="360" w:lineRule="auto"/>
        <w:ind w:left="0" w:right="0" w:firstLine="602" w:firstLineChars="200"/>
        <w:jc w:val="left"/>
        <w:rPr>
          <w:rFonts w:hint="eastAsia" w:ascii="仿宋_GB2312" w:hAnsi="仿宋" w:eastAsia="仿宋_GB2312" w:cs="仿宋"/>
          <w:b/>
          <w:sz w:val="30"/>
          <w:szCs w:val="30"/>
          <w:lang w:val="en-US"/>
        </w:rPr>
      </w:pPr>
      <w:r>
        <w:rPr>
          <w:rFonts w:hint="eastAsia" w:ascii="仿宋_GB2312" w:hAnsi="仿宋" w:eastAsia="仿宋_GB2312" w:cs="仿宋"/>
          <w:b/>
          <w:kern w:val="2"/>
          <w:sz w:val="30"/>
          <w:szCs w:val="30"/>
          <w:lang w:val="en-US" w:eastAsia="zh-CN" w:bidi="ar"/>
        </w:rPr>
        <w:t>第四条</w:t>
      </w:r>
      <w:r>
        <w:rPr>
          <w:rFonts w:hint="eastAsia" w:ascii="仿宋_GB2312" w:hAnsi="仿宋" w:eastAsia="仿宋_GB2312" w:cs="仿宋"/>
          <w:kern w:val="2"/>
          <w:sz w:val="30"/>
          <w:szCs w:val="30"/>
          <w:lang w:val="en-US" w:eastAsia="zh-CN" w:bidi="ar"/>
        </w:rPr>
        <w:t xml:space="preserve"> 发布通知。教务处根据上级主管部门及学校的有关文件精神发布课程申报通知。</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sz w:val="30"/>
          <w:szCs w:val="30"/>
          <w:lang w:val="en-US"/>
        </w:rPr>
      </w:pPr>
      <w:r>
        <w:rPr>
          <w:rFonts w:hint="eastAsia" w:ascii="仿宋_GB2312" w:hAnsi="仿宋" w:eastAsia="仿宋_GB2312" w:cs="仿宋"/>
          <w:b/>
          <w:kern w:val="2"/>
          <w:sz w:val="30"/>
          <w:szCs w:val="30"/>
          <w:lang w:val="en-US" w:eastAsia="zh-CN" w:bidi="ar"/>
        </w:rPr>
        <w:t>第五条</w:t>
      </w:r>
      <w:r>
        <w:rPr>
          <w:rFonts w:hint="eastAsia" w:ascii="仿宋_GB2312" w:hAnsi="仿宋" w:eastAsia="仿宋_GB2312" w:cs="仿宋"/>
          <w:kern w:val="2"/>
          <w:sz w:val="30"/>
          <w:szCs w:val="30"/>
          <w:lang w:val="en-US" w:eastAsia="zh-CN" w:bidi="ar"/>
        </w:rPr>
        <w:t xml:space="preserve"> 个人申请。申请者提交《宜春学院校级“金课”项目立项申报书》至所在教学院。</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sz w:val="30"/>
          <w:szCs w:val="30"/>
          <w:lang w:val="en-US"/>
        </w:rPr>
      </w:pPr>
      <w:r>
        <w:rPr>
          <w:rFonts w:hint="eastAsia" w:ascii="仿宋_GB2312" w:hAnsi="仿宋" w:eastAsia="仿宋_GB2312" w:cs="仿宋"/>
          <w:b/>
          <w:kern w:val="2"/>
          <w:sz w:val="30"/>
          <w:szCs w:val="30"/>
          <w:lang w:val="en-US" w:eastAsia="zh-CN" w:bidi="ar"/>
        </w:rPr>
        <w:t>第六条</w:t>
      </w:r>
      <w:r>
        <w:rPr>
          <w:rFonts w:hint="eastAsia" w:ascii="仿宋_GB2312" w:hAnsi="仿宋" w:eastAsia="仿宋_GB2312" w:cs="仿宋"/>
          <w:kern w:val="2"/>
          <w:sz w:val="30"/>
          <w:szCs w:val="30"/>
          <w:lang w:val="en-US" w:eastAsia="zh-CN" w:bidi="ar"/>
        </w:rPr>
        <w:t xml:space="preserve"> 教学院推荐。教学院依据申报要求，对申请者提交的申报材料及课堂教学效果进行综合评价，由教学院作出推荐意见，提交教务处。</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sz w:val="30"/>
          <w:szCs w:val="30"/>
          <w:lang w:val="en-US"/>
        </w:rPr>
      </w:pPr>
      <w:r>
        <w:rPr>
          <w:rFonts w:hint="eastAsia" w:ascii="仿宋_GB2312" w:hAnsi="仿宋" w:eastAsia="仿宋_GB2312" w:cs="仿宋"/>
          <w:b/>
          <w:kern w:val="2"/>
          <w:sz w:val="30"/>
          <w:szCs w:val="30"/>
          <w:lang w:val="en-US" w:eastAsia="zh-CN" w:bidi="ar"/>
        </w:rPr>
        <w:t>第七条</w:t>
      </w:r>
      <w:r>
        <w:rPr>
          <w:rFonts w:hint="eastAsia" w:ascii="仿宋_GB2312" w:hAnsi="仿宋" w:eastAsia="仿宋_GB2312" w:cs="仿宋"/>
          <w:kern w:val="2"/>
          <w:sz w:val="30"/>
          <w:szCs w:val="30"/>
          <w:lang w:val="en-US" w:eastAsia="zh-CN" w:bidi="ar"/>
        </w:rPr>
        <w:t xml:space="preserve"> 专家评审。教务处对教学院推荐的相关材料进行审查并组织专家评审，根据上级主管部门的有关文件精神和学校制定的课程评审标准作为评审参考依据，评审结果经公示无异议后需提请校教学指导委员会审定。审定后，予以立项。</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sz w:val="30"/>
          <w:szCs w:val="30"/>
          <w:lang w:val="en-US"/>
        </w:rPr>
      </w:pPr>
      <w:r>
        <w:rPr>
          <w:rFonts w:hint="eastAsia" w:ascii="仿宋_GB2312" w:hAnsi="仿宋" w:eastAsia="仿宋_GB2312" w:cs="仿宋"/>
          <w:b/>
          <w:kern w:val="2"/>
          <w:sz w:val="30"/>
          <w:szCs w:val="30"/>
          <w:lang w:val="en-US" w:eastAsia="zh-CN" w:bidi="ar"/>
        </w:rPr>
        <w:t>第八条</w:t>
      </w:r>
      <w:r>
        <w:rPr>
          <w:rFonts w:hint="eastAsia" w:ascii="仿宋_GB2312" w:hAnsi="仿宋" w:eastAsia="仿宋_GB2312" w:cs="仿宋"/>
          <w:kern w:val="2"/>
          <w:sz w:val="30"/>
          <w:szCs w:val="30"/>
          <w:lang w:val="en-US" w:eastAsia="zh-CN" w:bidi="ar"/>
        </w:rPr>
        <w:t xml:space="preserve"> 项目建设实施周期一般为1-2年，最长不超过3年。项目建设团队须根据申报书要求明确建设任务和预期目标，实施项目化管理，从立项开始正式启动课程建设工作。</w:t>
      </w:r>
    </w:p>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仿宋"/>
          <w:bCs/>
          <w:sz w:val="30"/>
          <w:szCs w:val="30"/>
          <w:lang w:val="en-US"/>
        </w:rPr>
      </w:pPr>
      <w:r>
        <w:rPr>
          <w:rFonts w:hint="eastAsia" w:ascii="黑体" w:hAnsi="宋体" w:eastAsia="黑体" w:cs="仿宋"/>
          <w:bCs/>
          <w:kern w:val="2"/>
          <w:sz w:val="30"/>
          <w:szCs w:val="30"/>
          <w:lang w:val="en-US" w:eastAsia="zh-CN" w:bidi="ar"/>
        </w:rPr>
        <w:t>第三章  经费管理</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sz w:val="30"/>
          <w:szCs w:val="30"/>
          <w:lang w:val="en-US"/>
        </w:rPr>
      </w:pPr>
      <w:r>
        <w:rPr>
          <w:rFonts w:hint="eastAsia" w:ascii="仿宋_GB2312" w:hAnsi="仿宋" w:eastAsia="仿宋_GB2312" w:cs="仿宋"/>
          <w:b/>
          <w:kern w:val="2"/>
          <w:sz w:val="30"/>
          <w:szCs w:val="30"/>
          <w:lang w:val="en-US" w:eastAsia="zh-CN" w:bidi="ar"/>
        </w:rPr>
        <w:t>第九条</w:t>
      </w:r>
      <w:r>
        <w:rPr>
          <w:rFonts w:hint="eastAsia" w:ascii="仿宋_GB2312" w:hAnsi="仿宋" w:eastAsia="仿宋_GB2312" w:cs="仿宋"/>
          <w:kern w:val="2"/>
          <w:sz w:val="30"/>
          <w:szCs w:val="30"/>
          <w:lang w:val="en-US" w:eastAsia="zh-CN" w:bidi="ar"/>
        </w:rPr>
        <w:t xml:space="preserve"> 按照分级分类建设原则，学校从课程建设专项经费中给予立项的校级“金课”经费资助。经费的使用应本着节约，谁使用、谁负责，专款专用的原则进行开支。</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仿宋_GB2312" w:hAnsi="仿宋" w:eastAsia="仿宋_GB2312" w:cs="仿宋"/>
          <w:sz w:val="30"/>
          <w:szCs w:val="30"/>
          <w:lang w:val="en-US"/>
        </w:rPr>
      </w:pP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1386840</wp:posOffset>
                </wp:positionV>
                <wp:extent cx="238125" cy="9525"/>
                <wp:effectExtent l="0" t="45720" r="5715" b="51435"/>
                <wp:wrapNone/>
                <wp:docPr id="9" name="自选图形 8"/>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8" o:spid="_x0000_s1026" o:spt="32" type="#_x0000_t32" style="position:absolute;left:0pt;flip:y;margin-left:324pt;margin-top:109.2pt;height:0.75pt;width:18.75pt;z-index:251669504;mso-width-relative:page;mso-height-relative:page;" filled="f" stroked="t" coordsize="21600,21600" o:gfxdata="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a/Cyr2gAA&#10;AAsBAAAPAAAAAAAAAAEAIAAAACIAAABkcnMvZG93bnJldi54bWxQSwECFAAUAAAACACHTuJA26kd&#10;i+MBAACiAwAADgAAAAAAAAABACAAAAApAQAAZHJzL2Uyb0RvYy54bWxQSwUGAAAAAAYABgBZAQAA&#10;fgUAAAAA&#10;">
                <v:fill on="f" focussize="0,0"/>
                <v:stroke color="#000000" joinstyle="round" endarrow="open"/>
                <v:imagedata o:title=""/>
                <o:lock v:ext="edit" aspectratio="f"/>
              </v:shape>
            </w:pict>
          </mc:Fallback>
        </mc:AlternateContent>
      </w: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1386840</wp:posOffset>
                </wp:positionV>
                <wp:extent cx="238125" cy="9525"/>
                <wp:effectExtent l="0" t="45720" r="5715" b="51435"/>
                <wp:wrapNone/>
                <wp:docPr id="10" name="自选图形 7"/>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7" o:spid="_x0000_s1026" o:spt="32" type="#_x0000_t32" style="position:absolute;left:0pt;flip:y;margin-left:207pt;margin-top:109.2pt;height:0.75pt;width:18.75pt;z-index:251668480;mso-width-relative:page;mso-height-relative:page;" filled="f" stroked="t" coordsize="21600,21600" o:gfxdata="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EUQmdkAAAAL&#10;AQAADwAAAAAAAAABACAAAAAiAAAAZHJzL2Rvd25yZXYueG1sUEsBAhQAFAAAAAgAh07iQJL/a9ri&#10;AQAAowMAAA4AAAAAAAAAAQAgAAAAKAEAAGRycy9lMm9Eb2MueG1sUEsFBgAAAAAGAAYAWQEAAHwF&#10;AAAAAA==&#10;">
                <v:fill on="f" focussize="0,0"/>
                <v:stroke color="#000000" joinstyle="round" endarrow="open"/>
                <v:imagedata o:title=""/>
                <o:lock v:ext="edit" aspectratio="f"/>
              </v:shape>
            </w:pict>
          </mc:Fallback>
        </mc:AlternateContent>
      </w: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51667456" behindDoc="0" locked="0" layoutInCell="1" allowOverlap="1">
                <wp:simplePos x="0" y="0"/>
                <wp:positionH relativeFrom="column">
                  <wp:posOffset>4572000</wp:posOffset>
                </wp:positionH>
                <wp:positionV relativeFrom="paragraph">
                  <wp:posOffset>990600</wp:posOffset>
                </wp:positionV>
                <wp:extent cx="238125" cy="9525"/>
                <wp:effectExtent l="0" t="45720" r="5715" b="51435"/>
                <wp:wrapNone/>
                <wp:docPr id="12" name="自选图形 6"/>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6" o:spid="_x0000_s1026" o:spt="32" type="#_x0000_t32" style="position:absolute;left:0pt;flip:y;margin-left:360pt;margin-top:78pt;height:0.75pt;width:18.75pt;z-index:251667456;mso-width-relative:page;mso-height-relative:page;" filled="f" stroked="t" coordsize="21600,21600" o:gfxdata="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oDPDLWAAAACwEA&#10;AA8AAAAAAAAAAQAgAAAAIgAAAGRycy9kb3ducmV2LnhtbFBLAQIUABQAAAAIAIdO4kBW8qEh4wEA&#10;AKMDAAAOAAAAAAAAAAEAIAAAACUBAABkcnMvZTJvRG9jLnhtbFBLBQYAAAAABgAGAFkBAAB6BQAA&#10;AAA=&#10;">
                <v:fill on="f" focussize="0,0"/>
                <v:stroke color="#000000" joinstyle="round" endarrow="open"/>
                <v:imagedata o:title=""/>
                <o:lock v:ext="edit" aspectratio="f"/>
              </v:shape>
            </w:pict>
          </mc:Fallback>
        </mc:AlternateContent>
      </w: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990600</wp:posOffset>
                </wp:positionV>
                <wp:extent cx="238125" cy="9525"/>
                <wp:effectExtent l="0" t="45720" r="5715" b="51435"/>
                <wp:wrapNone/>
                <wp:docPr id="13" name="自选图形 46"/>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6" o:spid="_x0000_s1026" o:spt="32" type="#_x0000_t32" style="position:absolute;left:0pt;flip:y;margin-left:216pt;margin-top:78pt;height:0.75pt;width:18.75pt;z-index:251666432;mso-width-relative:page;mso-height-relative:page;" filled="f" stroked="t" coordsize="21600,21600" o:gfxdata="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IfS/9kA&#10;AAALAQAADwAAAAAAAAABACAAAAAiAAAAZHJzL2Rvd25yZXYueG1sUEsBAhQAFAAAAAgAh07iQJmH&#10;h3zlAQAApAMAAA4AAAAAAAAAAQAgAAAAKAEAAGRycy9lMm9Eb2MueG1sUEsFBgAAAAAGAAYAWQEA&#10;AH8FAAAAAA==&#10;">
                <v:fill on="f" focussize="0,0"/>
                <v:stroke color="#000000" joinstyle="round" endarrow="open"/>
                <v:imagedata o:title=""/>
                <o:lock v:ext="edit" aspectratio="f"/>
              </v:shape>
            </w:pict>
          </mc:Fallback>
        </mc:AlternateContent>
      </w: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990600</wp:posOffset>
                </wp:positionV>
                <wp:extent cx="238125" cy="9525"/>
                <wp:effectExtent l="0" t="45720" r="5715" b="51435"/>
                <wp:wrapNone/>
                <wp:docPr id="11" name="自选图形 47"/>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7" o:spid="_x0000_s1026" o:spt="32" type="#_x0000_t32" style="position:absolute;left:0pt;flip:y;margin-left:108pt;margin-top:78pt;height:0.75pt;width:18.75pt;z-index:251665408;mso-width-relative:page;mso-height-relative:page;" filled="f" stroked="t" coordsize="21600,21600" o:gfxdata="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uzRl2AAA&#10;AAsBAAAPAAAAAAAAAAEAIAAAACIAAABkcnMvZG93bnJldi54bWxQSwECFAAUAAAACACHTuJAwQz4&#10;v+UBAACkAwAADgAAAAAAAAABACAAAAAnAQAAZHJzL2Uyb0RvYy54bWxQSwUGAAAAAAYABgBZAQAA&#10;fgUAAAAA&#10;">
                <v:fill on="f" focussize="0,0"/>
                <v:stroke color="#000000" joinstyle="round" endarrow="open"/>
                <v:imagedata o:title=""/>
                <o:lock v:ext="edit" aspectratio="f"/>
              </v:shape>
            </w:pict>
          </mc:Fallback>
        </mc:AlternateContent>
      </w:r>
      <w:r>
        <w:rPr>
          <w:rFonts w:hint="eastAsia" w:ascii="仿宋_GB2312" w:hAnsi="仿宋" w:eastAsia="仿宋_GB2312" w:cs="仿宋"/>
          <w:b/>
          <w:kern w:val="2"/>
          <w:sz w:val="30"/>
          <w:szCs w:val="30"/>
          <w:lang w:val="en-US" w:eastAsia="zh-CN" w:bidi="ar"/>
        </w:rPr>
        <w:t>第十条</w:t>
      </w:r>
      <w:r>
        <w:rPr>
          <w:rFonts w:hint="eastAsia" w:ascii="仿宋_GB2312" w:hAnsi="仿宋" w:eastAsia="仿宋_GB2312" w:cs="仿宋"/>
          <w:kern w:val="2"/>
          <w:sz w:val="30"/>
          <w:szCs w:val="30"/>
          <w:lang w:val="en-US" w:eastAsia="zh-CN" w:bidi="ar"/>
        </w:rPr>
        <w:t xml:space="preserve"> 经费支出及报账流程应遵照学校财务管理相关制度执行，项目经费由项目所属教学院负责管理，报销流程：</w:t>
      </w:r>
      <w:r>
        <w:rPr>
          <w:rFonts w:hint="eastAsia" w:ascii="仿宋_GB2312" w:hAnsi="仿宋" w:eastAsia="仿宋_GB2312" w:cs="仿宋_GB2312"/>
          <w:bCs/>
          <w:kern w:val="2"/>
          <w:sz w:val="30"/>
          <w:szCs w:val="30"/>
          <w:lang w:val="en-US" w:eastAsia="zh-CN" w:bidi="ar"/>
        </w:rPr>
        <w:t>①项目经费使用人签字   ②证明人签字   ③项目负责人签字   ④所在教学院审核，院领导签字同意   ⑤教务处登记   ⑥计财处办理报销手续。如涉及大额经费支出，需按照学校规定在到计财处办理报销手续前由相关校领导审核签字。</w:t>
      </w:r>
    </w:p>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仿宋"/>
          <w:bCs/>
          <w:sz w:val="30"/>
          <w:szCs w:val="30"/>
          <w:lang w:val="en-US"/>
        </w:rPr>
      </w:pPr>
      <w:r>
        <w:rPr>
          <w:rFonts w:hint="eastAsia" w:ascii="黑体" w:hAnsi="宋体" w:eastAsia="黑体" w:cs="仿宋"/>
          <w:bCs/>
          <w:kern w:val="2"/>
          <w:sz w:val="30"/>
          <w:szCs w:val="30"/>
          <w:lang w:val="en-US" w:eastAsia="zh-CN" w:bidi="ar"/>
        </w:rPr>
        <w:t>第四章  考核与验收</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sz w:val="30"/>
          <w:szCs w:val="30"/>
          <w:lang w:val="en-US"/>
        </w:rPr>
      </w:pPr>
      <w:r>
        <w:rPr>
          <w:rFonts w:hint="eastAsia" w:ascii="仿宋_GB2312" w:hAnsi="仿宋" w:eastAsia="仿宋_GB2312" w:cs="仿宋"/>
          <w:b/>
          <w:kern w:val="2"/>
          <w:sz w:val="30"/>
          <w:szCs w:val="30"/>
          <w:lang w:val="en-US" w:eastAsia="zh-CN" w:bidi="ar"/>
        </w:rPr>
        <w:t>第十一条</w:t>
      </w:r>
      <w:r>
        <w:rPr>
          <w:rFonts w:hint="eastAsia" w:ascii="仿宋_GB2312" w:hAnsi="仿宋" w:eastAsia="仿宋_GB2312" w:cs="仿宋"/>
          <w:kern w:val="2"/>
          <w:sz w:val="30"/>
          <w:szCs w:val="30"/>
          <w:lang w:val="en-US" w:eastAsia="zh-CN" w:bidi="ar"/>
        </w:rPr>
        <w:t xml:space="preserve"> 立项建设的课程通过学校组织验收认定后，授予校级“金课”荣誉称号，按照学校绩效工资有关文件核算其工作量。学校从校级“金课”中遴选建、用、学、管效果好的优质课程，优先推荐申报省级、国家级“金课”。</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sz w:val="30"/>
          <w:szCs w:val="30"/>
          <w:lang w:val="en-US"/>
        </w:rPr>
      </w:pPr>
      <w:r>
        <w:rPr>
          <w:rFonts w:hint="eastAsia" w:ascii="仿宋_GB2312" w:hAnsi="仿宋" w:eastAsia="仿宋_GB2312" w:cs="仿宋"/>
          <w:b/>
          <w:kern w:val="2"/>
          <w:sz w:val="30"/>
          <w:szCs w:val="30"/>
          <w:lang w:val="en-US" w:eastAsia="zh-CN" w:bidi="ar"/>
        </w:rPr>
        <w:t>第十二条</w:t>
      </w:r>
      <w:r>
        <w:rPr>
          <w:rFonts w:hint="eastAsia" w:ascii="仿宋_GB2312" w:hAnsi="仿宋" w:eastAsia="仿宋_GB2312" w:cs="仿宋"/>
          <w:kern w:val="2"/>
          <w:sz w:val="30"/>
          <w:szCs w:val="30"/>
          <w:lang w:val="en-US" w:eastAsia="zh-CN" w:bidi="ar"/>
        </w:rPr>
        <w:t xml:space="preserve"> 认定为省级、国家级“金课”的课程，学校将参照上级主管部门有关文件给予相应的经费和政策支持。</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仿宋" w:eastAsia="仿宋_GB2312" w:cs="仿宋"/>
          <w:sz w:val="30"/>
          <w:szCs w:val="30"/>
          <w:lang w:val="en-US"/>
        </w:rPr>
      </w:pPr>
      <w:r>
        <w:rPr>
          <w:rFonts w:hint="eastAsia" w:ascii="仿宋_GB2312" w:hAnsi="仿宋" w:eastAsia="仿宋_GB2312" w:cs="仿宋"/>
          <w:b/>
          <w:kern w:val="2"/>
          <w:sz w:val="30"/>
          <w:szCs w:val="30"/>
          <w:lang w:val="en-US" w:eastAsia="zh-CN" w:bidi="ar"/>
        </w:rPr>
        <w:t>第十三条</w:t>
      </w:r>
      <w:r>
        <w:rPr>
          <w:rFonts w:hint="eastAsia" w:ascii="仿宋_GB2312" w:hAnsi="仿宋" w:eastAsia="仿宋_GB2312" w:cs="仿宋"/>
          <w:kern w:val="2"/>
          <w:sz w:val="30"/>
          <w:szCs w:val="30"/>
          <w:lang w:val="en-US" w:eastAsia="zh-CN" w:bidi="ar"/>
        </w:rPr>
        <w:t xml:space="preserve"> 约束机制。项目若延期1年验收未通过或经费使用有违反财务管理制度的，撤销课程立项建设。被撤销立项的课程负责人，2年内不得申报教学建设项目、教改项目等。</w:t>
      </w:r>
    </w:p>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仿宋"/>
          <w:bCs/>
          <w:sz w:val="30"/>
          <w:szCs w:val="30"/>
          <w:lang w:val="en-US"/>
        </w:rPr>
      </w:pPr>
      <w:r>
        <w:rPr>
          <w:rFonts w:hint="eastAsia" w:ascii="黑体" w:hAnsi="宋体" w:eastAsia="黑体" w:cs="仿宋"/>
          <w:bCs/>
          <w:kern w:val="2"/>
          <w:sz w:val="30"/>
          <w:szCs w:val="30"/>
          <w:lang w:val="en-US" w:eastAsia="zh-CN" w:bidi="ar"/>
        </w:rPr>
        <w:t>第五章 附  则</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_GB2312" w:hAnsi="Times New Roman" w:eastAsia="仿宋_GB2312" w:cs="仿宋_GB2312"/>
          <w:bCs/>
          <w:sz w:val="30"/>
          <w:szCs w:val="30"/>
          <w:lang w:val="en-US"/>
        </w:rPr>
      </w:pPr>
      <w:r>
        <w:rPr>
          <w:rFonts w:hint="eastAsia" w:ascii="仿宋_GB2312" w:hAnsi="仿宋" w:eastAsia="仿宋_GB2312" w:cs="仿宋"/>
          <w:b/>
          <w:kern w:val="2"/>
          <w:sz w:val="30"/>
          <w:szCs w:val="30"/>
          <w:lang w:val="en-US" w:eastAsia="zh-CN" w:bidi="ar"/>
        </w:rPr>
        <w:t>第十四条</w:t>
      </w:r>
      <w:r>
        <w:rPr>
          <w:rFonts w:hint="eastAsia" w:ascii="仿宋_GB2312" w:hAnsi="仿宋" w:eastAsia="仿宋_GB2312" w:cs="仿宋"/>
          <w:kern w:val="2"/>
          <w:sz w:val="30"/>
          <w:szCs w:val="30"/>
          <w:lang w:val="en-US" w:eastAsia="zh-CN" w:bidi="ar"/>
        </w:rPr>
        <w:t xml:space="preserve"> 本计划未尽事宜另行规定。本办法自颁布之日起施行，由教务处负责解释。</w:t>
      </w:r>
    </w:p>
    <w:p>
      <w:pPr>
        <w:pStyle w:val="2"/>
        <w:widowControl/>
        <w:spacing w:before="0" w:beforeAutospacing="0" w:after="0" w:afterAutospacing="0"/>
        <w:ind w:left="0" w:right="0"/>
        <w:jc w:val="both"/>
        <w:rPr>
          <w:rFonts w:hint="eastAsia" w:ascii="宋体" w:hAnsi="Times New Roman" w:eastAsia="宋体" w:cs="宋体"/>
          <w:sz w:val="36"/>
          <w:szCs w:val="36"/>
          <w:lang w:val="en-US"/>
        </w:rPr>
      </w:pPr>
      <w:r>
        <w:rPr>
          <w:rFonts w:hint="eastAsia" w:ascii="仿宋_GB2312" w:hAnsi="Times New Roman" w:eastAsia="仿宋_GB2312" w:cs="Times New Roman"/>
          <w:b/>
          <w:kern w:val="44"/>
          <w:sz w:val="28"/>
          <w:szCs w:val="28"/>
          <w:lang w:val="en-US" w:eastAsia="zh-CN" w:bidi="ar"/>
        </w:rPr>
        <w:br w:type="page"/>
      </w:r>
      <w:bookmarkStart w:id="2" w:name="_Toc405217834"/>
      <w:bookmarkStart w:id="3" w:name="_Toc440207662"/>
      <w:r>
        <w:rPr>
          <w:rFonts w:hint="eastAsia" w:ascii="宋体" w:hAnsi="宋体" w:eastAsia="宋体" w:cs="宋体"/>
          <w:lang w:eastAsia="zh-CN"/>
        </w:rPr>
        <w:t>宜春学院普通本科生学分制管理办法</w:t>
      </w:r>
      <w:r>
        <w:rPr>
          <w:rFonts w:hint="eastAsia" w:ascii="宋体" w:hAnsi="宋体" w:eastAsia="宋体" w:cs="宋体"/>
          <w:sz w:val="36"/>
          <w:szCs w:val="36"/>
          <w:lang w:eastAsia="zh-CN"/>
        </w:rPr>
        <w:t>（修订）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lang w:val="en-US"/>
        </w:rPr>
      </w:pPr>
    </w:p>
    <w:p>
      <w:pPr>
        <w:keepNext w:val="0"/>
        <w:keepLines w:val="0"/>
        <w:widowControl w:val="0"/>
        <w:suppressLineNumbers w:val="0"/>
        <w:spacing w:before="0" w:beforeAutospacing="0" w:after="0" w:afterAutospacing="0" w:line="560" w:lineRule="exact"/>
        <w:ind w:left="0" w:right="0"/>
        <w:jc w:val="center"/>
        <w:rPr>
          <w:rFonts w:hint="eastAsia" w:ascii="宋体" w:hAnsi="Calibri" w:eastAsia="宋体" w:cs="宋体"/>
          <w:b/>
          <w:bCs w:val="0"/>
          <w:sz w:val="30"/>
          <w:szCs w:val="30"/>
          <w:lang w:val="en-US"/>
        </w:rPr>
      </w:pPr>
      <w:r>
        <w:rPr>
          <w:rFonts w:hint="eastAsia" w:ascii="宋体" w:hAnsi="宋体" w:eastAsia="宋体" w:cs="宋体"/>
          <w:b/>
          <w:bCs w:val="0"/>
          <w:kern w:val="2"/>
          <w:sz w:val="30"/>
          <w:szCs w:val="30"/>
          <w:lang w:val="en-US" w:eastAsia="zh-CN" w:bidi="ar"/>
        </w:rPr>
        <w:t>第一章 总则</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第一条  </w:t>
      </w:r>
      <w:r>
        <w:rPr>
          <w:rFonts w:hint="eastAsia" w:ascii="仿宋_GB2312" w:hAnsi="仿宋" w:eastAsia="仿宋_GB2312" w:cs="仿宋_GB2312"/>
          <w:kern w:val="2"/>
          <w:sz w:val="30"/>
          <w:szCs w:val="30"/>
          <w:lang w:val="en-US" w:eastAsia="zh-CN" w:bidi="ar"/>
        </w:rPr>
        <w:t>为进一步深化教育教学改革，全面推进学校转型发展，充分调动学生自主学习的积极性，满足学生的多样化需求，促进学生的全面发展，根据宜春学院学生管理规定有关精神，结合学校实际，特制订本办法。</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第二条 </w:t>
      </w:r>
      <w:r>
        <w:rPr>
          <w:rFonts w:hint="eastAsia" w:ascii="仿宋_GB2312" w:hAnsi="仿宋" w:eastAsia="仿宋_GB2312" w:cs="仿宋_GB2312"/>
          <w:kern w:val="2"/>
          <w:sz w:val="30"/>
          <w:szCs w:val="30"/>
          <w:lang w:val="en-US" w:eastAsia="zh-CN" w:bidi="ar"/>
        </w:rPr>
        <w:t>本办法所称学分制，是指高等学校以学分计算学生的学习量，以取得专业最低毕业学分作为学生毕业主要标准的一种教学管理制度。</w:t>
      </w:r>
    </w:p>
    <w:p>
      <w:pPr>
        <w:keepNext w:val="0"/>
        <w:keepLines w:val="0"/>
        <w:widowControl w:val="0"/>
        <w:suppressLineNumbers w:val="0"/>
        <w:spacing w:before="0" w:beforeAutospacing="0" w:after="0" w:afterAutospacing="0" w:line="560" w:lineRule="exact"/>
        <w:ind w:left="0" w:right="0" w:firstLine="2711" w:firstLineChars="900"/>
        <w:jc w:val="both"/>
        <w:rPr>
          <w:rFonts w:hint="eastAsia" w:ascii="宋体" w:hAnsi="Calibri" w:eastAsia="宋体" w:cs="宋体"/>
          <w:b/>
          <w:bCs w:val="0"/>
          <w:sz w:val="30"/>
          <w:szCs w:val="30"/>
          <w:lang w:val="en-US"/>
        </w:rPr>
      </w:pPr>
      <w:r>
        <w:rPr>
          <w:rFonts w:hint="eastAsia" w:ascii="宋体" w:hAnsi="宋体" w:eastAsia="宋体" w:cs="宋体"/>
          <w:b/>
          <w:bCs w:val="0"/>
          <w:kern w:val="2"/>
          <w:sz w:val="30"/>
          <w:szCs w:val="30"/>
          <w:lang w:val="en-US" w:eastAsia="zh-CN" w:bidi="ar"/>
        </w:rPr>
        <w:t>第二章 学制、学习年限</w:t>
      </w:r>
    </w:p>
    <w:p>
      <w:pPr>
        <w:keepNext w:val="0"/>
        <w:keepLines w:val="0"/>
        <w:widowControl w:val="0"/>
        <w:suppressLineNumbers w:val="0"/>
        <w:shd w:val="clear" w:fill="FFFFFF"/>
        <w:snapToGrid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shd w:val="clear" w:fill="FFFFFF"/>
          <w:lang w:val="en-US"/>
        </w:rPr>
      </w:pPr>
      <w:r>
        <w:rPr>
          <w:rFonts w:hint="eastAsia" w:ascii="仿宋_GB2312" w:hAnsi="仿宋" w:eastAsia="仿宋_GB2312" w:cs="仿宋_GB2312"/>
          <w:b/>
          <w:bCs w:val="0"/>
          <w:kern w:val="2"/>
          <w:sz w:val="30"/>
          <w:szCs w:val="30"/>
          <w:shd w:val="clear" w:fill="FFFFFF"/>
          <w:lang w:val="en-US" w:eastAsia="zh-CN" w:bidi="ar"/>
        </w:rPr>
        <w:t xml:space="preserve">第三条 </w:t>
      </w:r>
      <w:r>
        <w:rPr>
          <w:rFonts w:hint="eastAsia" w:ascii="仿宋_GB2312" w:hAnsi="仿宋" w:eastAsia="仿宋_GB2312" w:cs="仿宋_GB2312"/>
          <w:kern w:val="2"/>
          <w:sz w:val="30"/>
          <w:szCs w:val="30"/>
          <w:shd w:val="clear" w:fill="FFFFFF"/>
          <w:lang w:val="en-US" w:eastAsia="zh-CN" w:bidi="ar"/>
        </w:rPr>
        <w:t>普通本科专业学制为4年（医学专业为5年）。学校按照各专业人才培养方案实行弹性学习年限。在符合条件的情况下，学生可以按学校有关规定申请提前毕业或者延长学习年限，以累积学分形式分阶段完成学业。</w:t>
      </w:r>
    </w:p>
    <w:p>
      <w:pPr>
        <w:keepNext w:val="0"/>
        <w:keepLines w:val="0"/>
        <w:widowControl w:val="0"/>
        <w:suppressLineNumbers w:val="0"/>
        <w:shd w:val="clear" w:fill="FFFFFF"/>
        <w:snapToGrid w:val="0"/>
        <w:spacing w:before="0" w:beforeAutospacing="0" w:after="0" w:afterAutospacing="0" w:line="540" w:lineRule="exact"/>
        <w:ind w:left="0" w:right="0" w:firstLine="600" w:firstLineChars="200"/>
        <w:jc w:val="both"/>
        <w:rPr>
          <w:rFonts w:hint="eastAsia" w:ascii="仿宋_GB2312" w:hAnsi="仿宋" w:eastAsia="仿宋_GB2312" w:cs="仿宋_GB2312"/>
          <w:sz w:val="30"/>
          <w:szCs w:val="30"/>
          <w:shd w:val="clear" w:fill="FFFFFF"/>
          <w:lang w:val="en-US"/>
        </w:rPr>
      </w:pPr>
    </w:p>
    <w:p>
      <w:pPr>
        <w:keepNext w:val="0"/>
        <w:keepLines w:val="0"/>
        <w:widowControl w:val="0"/>
        <w:suppressLineNumbers w:val="0"/>
        <w:spacing w:before="0" w:beforeAutospacing="0" w:after="0" w:afterAutospacing="0" w:line="560" w:lineRule="exact"/>
        <w:ind w:left="0" w:right="0" w:firstLine="2711" w:firstLineChars="900"/>
        <w:jc w:val="both"/>
        <w:rPr>
          <w:rFonts w:hint="eastAsia" w:ascii="仿宋_GB2312" w:hAnsi="仿宋" w:eastAsia="仿宋_GB2312" w:cs="仿宋_GB2312"/>
          <w:b/>
          <w:bCs w:val="0"/>
          <w:sz w:val="30"/>
          <w:szCs w:val="30"/>
          <w:lang w:val="en-US"/>
        </w:rPr>
      </w:pPr>
      <w:r>
        <w:rPr>
          <w:rFonts w:hint="eastAsia" w:ascii="宋体" w:hAnsi="宋体" w:eastAsia="宋体" w:cs="宋体"/>
          <w:b/>
          <w:bCs w:val="0"/>
          <w:kern w:val="2"/>
          <w:sz w:val="30"/>
          <w:szCs w:val="30"/>
          <w:lang w:val="en-US" w:eastAsia="zh-CN" w:bidi="ar"/>
        </w:rPr>
        <w:t>第三章 学分、学分绩点</w:t>
      </w:r>
    </w:p>
    <w:p>
      <w:pPr>
        <w:keepNext w:val="0"/>
        <w:keepLines w:val="0"/>
        <w:widowControl w:val="0"/>
        <w:suppressLineNumbers w:val="0"/>
        <w:spacing w:before="0" w:beforeAutospacing="0" w:after="0" w:afterAutospacing="0" w:line="540" w:lineRule="exact"/>
        <w:ind w:left="0" w:right="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    第四条 </w:t>
      </w:r>
      <w:r>
        <w:rPr>
          <w:rFonts w:hint="eastAsia" w:ascii="仿宋_GB2312" w:hAnsi="仿宋" w:eastAsia="仿宋_GB2312" w:cs="仿宋_GB2312"/>
          <w:kern w:val="2"/>
          <w:sz w:val="30"/>
          <w:szCs w:val="30"/>
          <w:lang w:val="en-US" w:eastAsia="zh-CN" w:bidi="ar"/>
        </w:rPr>
        <w:t>课程学分和各专业的毕业最低学分由人才培养方案确定，学生须修满人才培养方案规定的各类课程的最低学分才能毕业。修读辅修专业由辅修专业人才培养方案确定。</w:t>
      </w:r>
    </w:p>
    <w:p>
      <w:pPr>
        <w:keepNext w:val="0"/>
        <w:keepLines w:val="0"/>
        <w:widowControl w:val="0"/>
        <w:suppressLineNumbers w:val="0"/>
        <w:spacing w:before="0" w:beforeAutospacing="0" w:after="0" w:afterAutospacing="0" w:line="540" w:lineRule="exact"/>
        <w:ind w:left="0" w:right="0" w:firstLine="48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学生因退学等情况中止学业，其在校学习期间所修课程及已获得学分，予以记录。学生重新参加入学考试，符合录取条件再次入学的，其已获得学分，经学校认定，予以承认。</w:t>
      </w:r>
    </w:p>
    <w:p>
      <w:pPr>
        <w:keepNext w:val="0"/>
        <w:keepLines w:val="0"/>
        <w:widowControl w:val="0"/>
        <w:suppressLineNumbers w:val="0"/>
        <w:spacing w:before="0" w:beforeAutospacing="0" w:after="0" w:afterAutospacing="0" w:line="540" w:lineRule="exact"/>
        <w:ind w:left="0" w:right="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    第五条 </w:t>
      </w:r>
      <w:r>
        <w:rPr>
          <w:rFonts w:hint="eastAsia" w:ascii="仿宋_GB2312" w:hAnsi="仿宋" w:eastAsia="仿宋_GB2312" w:cs="仿宋_GB2312"/>
          <w:kern w:val="2"/>
          <w:sz w:val="30"/>
          <w:szCs w:val="30"/>
          <w:lang w:val="en-US" w:eastAsia="zh-CN" w:bidi="ar"/>
        </w:rPr>
        <w:t>人才培养方案中的创新实践学分根据宜春学院大学生第二课堂成绩单认定办法有关规定进行认定。</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第六条 </w:t>
      </w:r>
      <w:r>
        <w:rPr>
          <w:rFonts w:hint="eastAsia" w:ascii="仿宋_GB2312" w:hAnsi="仿宋" w:eastAsia="仿宋_GB2312" w:cs="仿宋_GB2312"/>
          <w:kern w:val="2"/>
          <w:sz w:val="30"/>
          <w:szCs w:val="30"/>
          <w:lang w:val="en-US" w:eastAsia="zh-CN" w:bidi="ar"/>
        </w:rPr>
        <w:t>为培养学生的创新意识和创新能力，鼓励学生开展科学研究、创新设计，积极参加各类学科竞赛活动，对学生在校期间所取得的科研成果（第一作者单位须为宜春学院）和学科竞赛成绩（须代表学校参赛），可根据宜春学院课程学分转换管理办法进行学分转换，也可以根据宜春学院大学生第二课堂成绩单认定办法进行认定，但是不能重复进行认定。</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第七条 </w:t>
      </w:r>
      <w:r>
        <w:rPr>
          <w:rFonts w:hint="eastAsia" w:ascii="仿宋_GB2312" w:hAnsi="仿宋" w:eastAsia="仿宋_GB2312" w:cs="仿宋_GB2312"/>
          <w:kern w:val="2"/>
          <w:sz w:val="30"/>
          <w:szCs w:val="30"/>
          <w:lang w:val="en-US" w:eastAsia="zh-CN" w:bidi="ar"/>
        </w:rPr>
        <w:t>为更科学地评价学生修读课程的数量和质量，实行学分绩点制。用平均学分绩点作为区分学生学习成绩优劣的主要指标，是评奖评优的主要依据。累计学分作为学生学籍处理、毕（结）业的依据。</w:t>
      </w:r>
    </w:p>
    <w:p>
      <w:pPr>
        <w:keepNext w:val="0"/>
        <w:keepLines w:val="0"/>
        <w:widowControl w:val="0"/>
        <w:suppressLineNumbers w:val="0"/>
        <w:spacing w:before="0" w:beforeAutospacing="0" w:after="0" w:afterAutospacing="0" w:line="54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平均学分绩点的计算：</w:t>
      </w:r>
    </w:p>
    <w:p>
      <w:pPr>
        <w:keepNext w:val="0"/>
        <w:keepLines w:val="0"/>
        <w:widowControl w:val="0"/>
        <w:suppressLineNumbers w:val="0"/>
        <w:spacing w:before="0" w:beforeAutospacing="0" w:after="0" w:afterAutospacing="0" w:line="54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平均学分绩点=∑（课程绩点×课程学分）／∑课程学分</w:t>
      </w:r>
    </w:p>
    <w:p>
      <w:pPr>
        <w:keepNext w:val="0"/>
        <w:keepLines w:val="0"/>
        <w:widowControl w:val="0"/>
        <w:suppressLineNumbers w:val="0"/>
        <w:spacing w:before="0" w:beforeAutospacing="0" w:after="0" w:afterAutospacing="0" w:line="54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百分制、等级制、绩点三者的对应关系如下表：</w:t>
      </w:r>
    </w:p>
    <w:tbl>
      <w:tblPr>
        <w:tblStyle w:val="9"/>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987"/>
        <w:gridCol w:w="2991"/>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rPr>
              <w:t>百分制</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rPr>
              <w:t>等级制</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rPr>
              <w:t>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90--100</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A</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85--89</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A</w:t>
            </w:r>
            <w:r>
              <w:rPr>
                <w:rFonts w:hint="eastAsia" w:ascii="仿宋_GB2312" w:hAnsi="仿宋" w:eastAsia="仿宋_GB2312" w:cs="仿宋_GB2312"/>
                <w:sz w:val="30"/>
                <w:szCs w:val="30"/>
                <w:bdr w:val="none" w:color="auto" w:sz="0" w:space="0"/>
              </w:rPr>
              <w:t>－</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82--84</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B</w:t>
            </w:r>
            <w:r>
              <w:rPr>
                <w:rFonts w:hint="eastAsia" w:ascii="仿宋_GB2312" w:hAnsi="仿宋" w:eastAsia="仿宋_GB2312" w:cs="仿宋_GB2312"/>
                <w:sz w:val="30"/>
                <w:szCs w:val="30"/>
                <w:bdr w:val="none" w:color="auto" w:sz="0" w:space="0"/>
              </w:rPr>
              <w:t>＋</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78--81</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B</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75--77</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B</w:t>
            </w:r>
            <w:r>
              <w:rPr>
                <w:rFonts w:hint="eastAsia" w:ascii="仿宋_GB2312" w:hAnsi="仿宋" w:eastAsia="仿宋_GB2312" w:cs="仿宋_GB2312"/>
                <w:sz w:val="30"/>
                <w:szCs w:val="30"/>
                <w:bdr w:val="none" w:color="auto" w:sz="0" w:space="0"/>
              </w:rPr>
              <w:t>－</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72--74</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C</w:t>
            </w:r>
            <w:r>
              <w:rPr>
                <w:rFonts w:hint="eastAsia" w:ascii="仿宋_GB2312" w:hAnsi="仿宋" w:eastAsia="仿宋_GB2312" w:cs="仿宋_GB2312"/>
                <w:sz w:val="30"/>
                <w:szCs w:val="30"/>
                <w:bdr w:val="none" w:color="auto" w:sz="0" w:space="0"/>
              </w:rPr>
              <w:t>＋</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68--71</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C</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66--67</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C</w:t>
            </w:r>
            <w:r>
              <w:rPr>
                <w:rFonts w:hint="eastAsia" w:ascii="仿宋_GB2312" w:hAnsi="仿宋" w:eastAsia="仿宋_GB2312" w:cs="仿宋_GB2312"/>
                <w:sz w:val="30"/>
                <w:szCs w:val="30"/>
                <w:bdr w:val="none" w:color="auto" w:sz="0" w:space="0"/>
              </w:rPr>
              <w:t>－</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64--65</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D</w:t>
            </w:r>
            <w:r>
              <w:rPr>
                <w:rFonts w:hint="eastAsia" w:ascii="仿宋_GB2312" w:hAnsi="仿宋" w:eastAsia="仿宋_GB2312" w:cs="仿宋_GB2312"/>
                <w:sz w:val="30"/>
                <w:szCs w:val="30"/>
                <w:bdr w:val="none" w:color="auto" w:sz="0" w:space="0"/>
              </w:rPr>
              <w:t>＋</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60--63</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D</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2987"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 w:cs="仿宋"/>
                <w:sz w:val="30"/>
                <w:szCs w:val="30"/>
                <w:bdr w:val="none" w:color="auto" w:sz="0" w:space="0"/>
              </w:rPr>
              <w:t>﹤</w:t>
            </w:r>
            <w:r>
              <w:rPr>
                <w:rFonts w:hint="eastAsia" w:ascii="仿宋_GB2312" w:hAnsi="仿宋" w:eastAsia="仿宋_GB2312" w:cs="仿宋_GB2312"/>
                <w:sz w:val="30"/>
                <w:szCs w:val="30"/>
                <w:bdr w:val="none" w:color="auto" w:sz="0" w:space="0"/>
                <w:lang w:val="en-US"/>
              </w:rPr>
              <w:t>60</w:t>
            </w:r>
          </w:p>
        </w:tc>
        <w:tc>
          <w:tcPr>
            <w:tcW w:w="2991"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firstLine="900" w:firstLineChars="300"/>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E</w:t>
            </w:r>
          </w:p>
        </w:tc>
        <w:tc>
          <w:tcPr>
            <w:tcW w:w="2973" w:type="dxa"/>
            <w:tcBorders>
              <w:top w:val="single" w:color="auto" w:sz="4" w:space="0"/>
              <w:left w:val="single" w:color="auto" w:sz="4" w:space="0"/>
              <w:bottom w:val="single" w:color="auto" w:sz="4" w:space="0"/>
              <w:right w:val="single" w:color="auto" w:sz="4" w:space="0"/>
            </w:tcBorders>
            <w:shd w:val="clear"/>
            <w:vAlign w:val="center"/>
          </w:tcPr>
          <w:p>
            <w:pPr>
              <w:pStyle w:val="4"/>
              <w:widowControl/>
              <w:spacing w:line="540" w:lineRule="exact"/>
              <w:ind w:left="0"/>
              <w:jc w:val="center"/>
              <w:rPr>
                <w:rFonts w:hint="eastAsia" w:ascii="仿宋_GB2312" w:hAnsi="仿宋" w:eastAsia="仿宋_GB2312" w:cs="仿宋_GB2312"/>
                <w:sz w:val="30"/>
                <w:szCs w:val="30"/>
                <w:bdr w:val="none" w:color="auto" w:sz="0" w:space="0"/>
                <w:lang w:val="en-US"/>
              </w:rPr>
            </w:pPr>
            <w:r>
              <w:rPr>
                <w:rFonts w:hint="eastAsia" w:ascii="仿宋_GB2312" w:hAnsi="仿宋" w:eastAsia="仿宋_GB2312" w:cs="仿宋_GB2312"/>
                <w:sz w:val="30"/>
                <w:szCs w:val="30"/>
                <w:bdr w:val="none" w:color="auto" w:sz="0" w:space="0"/>
                <w:lang w:val="en-US"/>
              </w:rPr>
              <w:t>0</w:t>
            </w:r>
          </w:p>
        </w:tc>
      </w:tr>
    </w:tbl>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第八条 </w:t>
      </w:r>
      <w:r>
        <w:rPr>
          <w:rFonts w:hint="eastAsia" w:ascii="仿宋_GB2312" w:hAnsi="仿宋" w:eastAsia="仿宋_GB2312" w:cs="仿宋_GB2312"/>
          <w:kern w:val="2"/>
          <w:sz w:val="30"/>
          <w:szCs w:val="30"/>
          <w:lang w:val="en-US" w:eastAsia="zh-CN" w:bidi="ar"/>
        </w:rPr>
        <w:t>无论是否合格，考核成绩、学分以及学分绩点一律记入学生成绩表，并归入本人档案。</w:t>
      </w:r>
    </w:p>
    <w:p>
      <w:pPr>
        <w:keepNext w:val="0"/>
        <w:keepLines w:val="0"/>
        <w:widowControl w:val="0"/>
        <w:suppressLineNumbers w:val="0"/>
        <w:spacing w:before="0" w:beforeAutospacing="0" w:after="0" w:afterAutospacing="0" w:line="560" w:lineRule="exact"/>
        <w:ind w:left="0" w:right="0" w:firstLine="3313" w:firstLineChars="1100"/>
        <w:jc w:val="both"/>
        <w:rPr>
          <w:rFonts w:hint="eastAsia" w:ascii="宋体" w:hAnsi="Calibri" w:eastAsia="宋体" w:cs="宋体"/>
          <w:b/>
          <w:bCs w:val="0"/>
          <w:sz w:val="30"/>
          <w:szCs w:val="30"/>
          <w:lang w:val="en-US"/>
        </w:rPr>
      </w:pPr>
      <w:r>
        <w:rPr>
          <w:rFonts w:hint="eastAsia" w:ascii="宋体" w:hAnsi="宋体" w:eastAsia="宋体" w:cs="宋体"/>
          <w:b/>
          <w:bCs w:val="0"/>
          <w:kern w:val="2"/>
          <w:sz w:val="30"/>
          <w:szCs w:val="30"/>
          <w:lang w:val="en-US" w:eastAsia="zh-CN" w:bidi="ar"/>
        </w:rPr>
        <w:t>第四章 课程考核</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第九条　</w:t>
      </w:r>
      <w:r>
        <w:rPr>
          <w:rFonts w:hint="eastAsia" w:ascii="仿宋_GB2312" w:hAnsi="仿宋" w:eastAsia="仿宋_GB2312" w:cs="仿宋_GB2312"/>
          <w:kern w:val="2"/>
          <w:sz w:val="30"/>
          <w:szCs w:val="30"/>
          <w:lang w:val="en-US" w:eastAsia="zh-CN" w:bidi="ar"/>
        </w:rPr>
        <w:t>学生须参加学校专业培养方案规定的课程和各种教育教学环节（以下统称课程）的考核，经考核合格者方能取得学分。</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第十条　</w:t>
      </w:r>
      <w:r>
        <w:rPr>
          <w:rFonts w:hint="eastAsia" w:ascii="仿宋_GB2312" w:hAnsi="仿宋" w:eastAsia="仿宋_GB2312" w:cs="仿宋_GB2312"/>
          <w:kern w:val="2"/>
          <w:sz w:val="30"/>
          <w:szCs w:val="30"/>
          <w:lang w:val="en-US" w:eastAsia="zh-CN" w:bidi="ar"/>
        </w:rPr>
        <w:t>考核是对学生在各教学环节中学习情况的综合评价，以考试为主，每门课程都要进行考核。具体办法按照宜春学院课程考核与管理办法执行。</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第十一条　</w:t>
      </w:r>
      <w:r>
        <w:rPr>
          <w:rFonts w:hint="eastAsia" w:ascii="仿宋_GB2312" w:hAnsi="仿宋" w:eastAsia="仿宋_GB2312" w:cs="仿宋_GB2312"/>
          <w:kern w:val="2"/>
          <w:sz w:val="30"/>
          <w:szCs w:val="30"/>
          <w:lang w:val="en-US" w:eastAsia="zh-CN" w:bidi="ar"/>
        </w:rPr>
        <w:t>体育、军训是必修科目。学生体育课的成绩根据考勤、课内教学和课外锻炼活动等情况综合评定。对因身体原因不能正常上体育课者，需提供二级以上医院疾病证明书或其他相关证明材料且经所在教学院和体育学院批准，报教务处备案后，可转修保健体育课，其体育课成绩须注明为“保健体育课”。军训考核成绩根据军事考核和军事理论课成绩综合评定。</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第十二条</w:t>
      </w:r>
      <w:r>
        <w:rPr>
          <w:rFonts w:hint="eastAsia" w:ascii="仿宋_GB2312" w:hAnsi="仿宋" w:eastAsia="仿宋_GB2312" w:cs="仿宋_GB2312"/>
          <w:kern w:val="2"/>
          <w:sz w:val="30"/>
          <w:szCs w:val="30"/>
          <w:lang w:val="en-US" w:eastAsia="zh-CN" w:bidi="ar"/>
        </w:rPr>
        <w:t>　毕业设计（论文）、课程设计、课程实习、生产实习、毕业实习、社会实践等实践性教学环节的考核和成绩评定，按学校有关办法执行。</w:t>
      </w:r>
    </w:p>
    <w:p>
      <w:pPr>
        <w:keepNext w:val="0"/>
        <w:keepLines w:val="0"/>
        <w:widowControl w:val="0"/>
        <w:suppressLineNumbers w:val="0"/>
        <w:spacing w:before="0" w:beforeAutospacing="0" w:after="0" w:afterAutospacing="0" w:line="560" w:lineRule="exact"/>
        <w:ind w:left="0" w:right="0" w:firstLine="2711" w:firstLineChars="900"/>
        <w:jc w:val="both"/>
        <w:rPr>
          <w:rFonts w:hint="eastAsia" w:ascii="宋体" w:hAnsi="Calibri" w:eastAsia="宋体" w:cs="宋体"/>
          <w:b/>
          <w:bCs w:val="0"/>
          <w:sz w:val="30"/>
          <w:szCs w:val="30"/>
          <w:lang w:val="en-US"/>
        </w:rPr>
      </w:pPr>
      <w:r>
        <w:rPr>
          <w:rFonts w:hint="eastAsia" w:ascii="宋体" w:hAnsi="宋体" w:eastAsia="宋体" w:cs="宋体"/>
          <w:b/>
          <w:bCs w:val="0"/>
          <w:kern w:val="2"/>
          <w:sz w:val="30"/>
          <w:szCs w:val="30"/>
          <w:lang w:val="en-US" w:eastAsia="zh-CN" w:bidi="ar"/>
        </w:rPr>
        <w:t>第五章 重修、免修与免听</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第十三条</w:t>
      </w:r>
      <w:r>
        <w:rPr>
          <w:rFonts w:hint="eastAsia" w:ascii="仿宋_GB2312" w:hAnsi="仿宋" w:eastAsia="仿宋_GB2312" w:cs="仿宋_GB2312"/>
          <w:kern w:val="2"/>
          <w:sz w:val="30"/>
          <w:szCs w:val="30"/>
          <w:lang w:val="en-US" w:eastAsia="zh-CN" w:bidi="ar"/>
        </w:rPr>
        <w:t>　学生课程考核不合格者，给予一次补考机会；补考不合格，可根据学校有关课程重修管理办法，通过重修取得该课程的学分。选修课考核不及格者，允许按照人才培养方案要求改选其他课程，也可重修或放弃。重修分为组班重修、跟班重修和自修等方式。补考成绩60分以上均计60分，注明“补考”字样记入课程成绩。重修课程的成绩和绩点据实记载。</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第十四条  </w:t>
      </w:r>
      <w:r>
        <w:rPr>
          <w:rFonts w:hint="eastAsia" w:ascii="仿宋_GB2312" w:hAnsi="仿宋" w:eastAsia="仿宋_GB2312" w:cs="仿宋_GB2312"/>
          <w:kern w:val="2"/>
          <w:sz w:val="30"/>
          <w:szCs w:val="30"/>
          <w:lang w:val="en-US" w:eastAsia="zh-CN" w:bidi="ar"/>
        </w:rPr>
        <w:t>学生选课后，在规定时间内未正式办理退课手续且不参加课程学习及考核者，视为无故缺考，该课程成绩记为零分，且不准补考，按人才培养方案要求重修或改修。</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第十五条</w:t>
      </w:r>
      <w:r>
        <w:rPr>
          <w:rFonts w:hint="eastAsia" w:ascii="仿宋_GB2312" w:hAnsi="仿宋" w:eastAsia="仿宋_GB2312" w:cs="仿宋_GB2312"/>
          <w:kern w:val="2"/>
          <w:sz w:val="30"/>
          <w:szCs w:val="30"/>
          <w:lang w:val="en-US" w:eastAsia="zh-CN" w:bidi="ar"/>
        </w:rPr>
        <w:t>　学生确因特殊情况不能参加考试，需申请缓考的，须在考前持有关证明，经所在教学院主管教学领导批准，报教务处备案。缓考不单独安排，随补考、重修考试或下一年级同门课程考试进行。缓考课程的成绩一般按考试卷面成绩计。</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第十六条</w:t>
      </w:r>
      <w:r>
        <w:rPr>
          <w:rFonts w:hint="eastAsia" w:ascii="仿宋_GB2312" w:hAnsi="仿宋" w:eastAsia="仿宋_GB2312" w:cs="仿宋_GB2312"/>
          <w:kern w:val="2"/>
          <w:sz w:val="30"/>
          <w:szCs w:val="30"/>
          <w:lang w:val="en-US" w:eastAsia="zh-CN" w:bidi="ar"/>
        </w:rPr>
        <w:t>　学生如对课程考核的成绩不满意，可以向教学院申请并报教务处审核备案，参加一次重修课程考试，并按考核最高一次成绩记载。</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第十七条</w:t>
      </w:r>
      <w:r>
        <w:rPr>
          <w:rFonts w:hint="eastAsia" w:ascii="仿宋_GB2312" w:hAnsi="仿宋" w:eastAsia="仿宋_GB2312" w:cs="仿宋_GB2312"/>
          <w:kern w:val="2"/>
          <w:sz w:val="30"/>
          <w:szCs w:val="30"/>
          <w:lang w:val="en-US" w:eastAsia="zh-CN" w:bidi="ar"/>
        </w:rPr>
        <w:t>　除思想政治理论课、体育课和单独设置的实践教学环节以外的课程，学生按规定办理好手续后，可以申请免修或免听。</w:t>
      </w:r>
    </w:p>
    <w:p>
      <w:pPr>
        <w:keepNext w:val="0"/>
        <w:keepLines w:val="0"/>
        <w:widowControl w:val="0"/>
        <w:suppressLineNumbers w:val="0"/>
        <w:spacing w:before="0" w:beforeAutospacing="0" w:after="0" w:afterAutospacing="0" w:line="54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学生免修课程须在该课程开课学</w:t>
      </w:r>
      <w:r>
        <w:rPr>
          <w:rFonts w:hint="eastAsia" w:ascii="仿宋_GB2312" w:hAnsi="仿宋" w:eastAsia="仿宋_GB2312" w:cs="仿宋_GB2312"/>
          <w:bCs/>
          <w:iCs/>
          <w:kern w:val="2"/>
          <w:sz w:val="30"/>
          <w:szCs w:val="30"/>
          <w:lang w:val="en-US" w:eastAsia="zh-CN" w:bidi="ar"/>
        </w:rPr>
        <w:t>期的第4-5周内</w:t>
      </w:r>
      <w:r>
        <w:rPr>
          <w:rFonts w:hint="eastAsia" w:ascii="仿宋_GB2312" w:hAnsi="仿宋" w:eastAsia="仿宋_GB2312" w:cs="仿宋_GB2312"/>
          <w:kern w:val="2"/>
          <w:sz w:val="30"/>
          <w:szCs w:val="30"/>
          <w:lang w:val="en-US" w:eastAsia="zh-CN" w:bidi="ar"/>
        </w:rPr>
        <w:t>向开课单位提出申请，经任课教师和主管教学领导批准同意后，报教务处审核备案。免修考核成绩在75分以上（含75分）者方能取得学分。免修课程在学生成绩表注明“免修”字样记入，学分成绩转换统一按绩点2.7（75分）记入。</w:t>
      </w:r>
    </w:p>
    <w:p>
      <w:pPr>
        <w:keepNext w:val="0"/>
        <w:keepLines w:val="0"/>
        <w:widowControl w:val="0"/>
        <w:suppressLineNumbers w:val="0"/>
        <w:spacing w:before="0" w:beforeAutospacing="0" w:after="0" w:afterAutospacing="0" w:line="54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因课程冲突，所选课程可申请免听或部分免听。免听课程的作业、实验、上机等必须完成，并按时参加考核。办理免听或部分免听须由学生本人提出书面申请，任课教师审核同意后，学生所在教学院备案。</w:t>
      </w:r>
    </w:p>
    <w:p>
      <w:pPr>
        <w:keepNext w:val="0"/>
        <w:keepLines w:val="0"/>
        <w:widowControl w:val="0"/>
        <w:suppressLineNumbers w:val="0"/>
        <w:spacing w:before="0" w:beforeAutospacing="0" w:after="0" w:afterAutospacing="0" w:line="560" w:lineRule="exact"/>
        <w:ind w:left="0" w:right="0" w:firstLine="2409" w:firstLineChars="800"/>
        <w:jc w:val="both"/>
        <w:rPr>
          <w:rFonts w:hint="eastAsia" w:ascii="宋体" w:hAnsi="Calibri" w:eastAsia="宋体" w:cs="宋体"/>
          <w:b/>
          <w:bCs w:val="0"/>
          <w:sz w:val="30"/>
          <w:szCs w:val="30"/>
          <w:lang w:val="en-US"/>
        </w:rPr>
      </w:pPr>
      <w:r>
        <w:rPr>
          <w:rFonts w:hint="eastAsia" w:ascii="宋体" w:hAnsi="宋体" w:eastAsia="宋体" w:cs="宋体"/>
          <w:b/>
          <w:bCs w:val="0"/>
          <w:kern w:val="2"/>
          <w:sz w:val="30"/>
          <w:szCs w:val="30"/>
          <w:lang w:val="en-US" w:eastAsia="zh-CN" w:bidi="ar"/>
        </w:rPr>
        <w:t>第六章 毕业、结业及授予学位</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第十八条</w:t>
      </w:r>
      <w:r>
        <w:rPr>
          <w:rFonts w:hint="eastAsia" w:ascii="仿宋_GB2312" w:hAnsi="仿宋" w:eastAsia="仿宋_GB2312" w:cs="仿宋_GB2312"/>
          <w:kern w:val="2"/>
          <w:sz w:val="30"/>
          <w:szCs w:val="30"/>
          <w:lang w:val="en-US" w:eastAsia="zh-CN" w:bidi="ar"/>
        </w:rPr>
        <w:t>　学生学业结束时，学校依据专业人才培养方案，从德、智、体、美、劳等方面对其进行全面审查，以确定其能否毕业和获得学位。</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第十九条</w:t>
      </w:r>
      <w:r>
        <w:rPr>
          <w:rFonts w:hint="eastAsia" w:ascii="仿宋_GB2312" w:hAnsi="仿宋" w:eastAsia="仿宋_GB2312" w:cs="仿宋_GB2312"/>
          <w:kern w:val="2"/>
          <w:sz w:val="30"/>
          <w:szCs w:val="30"/>
          <w:lang w:val="en-US" w:eastAsia="zh-CN" w:bidi="ar"/>
        </w:rPr>
        <w:t>　毕业和学位资格审查包括主修专业毕业和学位资格审查、辅修专业结业资格审查和辅修学位资格审查等内容。</w:t>
      </w:r>
    </w:p>
    <w:p>
      <w:pPr>
        <w:keepNext w:val="0"/>
        <w:keepLines w:val="0"/>
        <w:widowControl w:val="0"/>
        <w:suppressLineNumbers w:val="0"/>
        <w:spacing w:before="0" w:beforeAutospacing="0" w:after="0" w:afterAutospacing="0" w:line="54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毕业和学位资格审查依据本科专业人才培养方案规定的学业标准进行。在读期间遇到专业培养方案局部调整的学生，其毕业和学位资格审查执行调整后的人才培养方案规定的学业标准。</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第二十条</w:t>
      </w:r>
      <w:r>
        <w:rPr>
          <w:rFonts w:hint="eastAsia" w:ascii="仿宋_GB2312" w:hAnsi="仿宋" w:eastAsia="仿宋_GB2312" w:cs="仿宋_GB2312"/>
          <w:kern w:val="2"/>
          <w:sz w:val="30"/>
          <w:szCs w:val="30"/>
          <w:lang w:val="en-US" w:eastAsia="zh-CN" w:bidi="ar"/>
        </w:rPr>
        <w:t>　在籍学生在学校规定年限内修完主修专业人才培养方案规定的全部教学环节，通过体能测试达到《国家学生体质健康标准》，并取得规定的最低学分，达到毕业要求，准予毕业。</w:t>
      </w:r>
    </w:p>
    <w:p>
      <w:pPr>
        <w:keepNext w:val="0"/>
        <w:keepLines w:val="0"/>
        <w:widowControl w:val="0"/>
        <w:suppressLineNumbers w:val="0"/>
        <w:spacing w:before="0" w:beforeAutospacing="0" w:after="0" w:afterAutospacing="0" w:line="54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修完主修专业培养方案规定的全部教学环节，但未取得规定的最低学分者，准予结业。</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第二十一条 </w:t>
      </w:r>
      <w:r>
        <w:rPr>
          <w:rFonts w:hint="eastAsia" w:ascii="仿宋_GB2312" w:hAnsi="仿宋" w:eastAsia="仿宋_GB2312" w:cs="仿宋_GB2312"/>
          <w:kern w:val="2"/>
          <w:sz w:val="30"/>
          <w:szCs w:val="30"/>
          <w:lang w:val="en-US" w:eastAsia="zh-CN" w:bidi="ar"/>
        </w:rPr>
        <w:t>取得主修专业毕业资格的学生，学校依法对其学位资格进行全面审查。凡符合《中华人民共和国学位条例》及宜春学院普通本科毕业生学士学位授予工作实施细则的有关要求者，授予其主修专业相应学科门类的学士学位。</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第二十二条 </w:t>
      </w:r>
      <w:r>
        <w:rPr>
          <w:rFonts w:hint="eastAsia" w:ascii="仿宋_GB2312" w:hAnsi="仿宋" w:eastAsia="仿宋_GB2312" w:cs="仿宋_GB2312"/>
          <w:kern w:val="2"/>
          <w:sz w:val="30"/>
          <w:szCs w:val="30"/>
          <w:lang w:val="en-US" w:eastAsia="zh-CN" w:bidi="ar"/>
        </w:rPr>
        <w:t>在籍学生修完辅修专业学士学位人才培养方案规定的全部教学环节，并取得规定的最低学分，符合学校学士学位授予条件，并获得主修专业学士学位授予资格者，可获辅修专业学士学位授予资格。</w:t>
      </w:r>
    </w:p>
    <w:p>
      <w:pPr>
        <w:keepNext w:val="0"/>
        <w:keepLines w:val="0"/>
        <w:widowControl w:val="0"/>
        <w:suppressLineNumbers w:val="0"/>
        <w:spacing w:before="0" w:beforeAutospacing="0" w:after="0" w:afterAutospacing="0" w:line="560" w:lineRule="exact"/>
        <w:ind w:left="0" w:right="0" w:firstLine="2409" w:firstLineChars="800"/>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第七章 提前、延期毕业</w:t>
      </w:r>
    </w:p>
    <w:p>
      <w:pPr>
        <w:keepNext w:val="0"/>
        <w:keepLines w:val="0"/>
        <w:widowControl w:val="0"/>
        <w:suppressLineNumbers w:val="0"/>
        <w:autoSpaceDE w:val="0"/>
        <w:autoSpaceDN/>
        <w:spacing w:before="0" w:beforeAutospacing="0" w:after="0" w:afterAutospacing="0" w:line="500" w:lineRule="exact"/>
        <w:ind w:left="0" w:right="0" w:firstLine="602" w:firstLineChars="200"/>
        <w:jc w:val="left"/>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第二十三条 </w:t>
      </w:r>
      <w:r>
        <w:rPr>
          <w:rFonts w:hint="eastAsia" w:ascii="仿宋_GB2312" w:hAnsi="仿宋" w:eastAsia="仿宋_GB2312" w:cs="仿宋_GB2312"/>
          <w:kern w:val="2"/>
          <w:sz w:val="30"/>
          <w:szCs w:val="30"/>
          <w:lang w:val="en-US" w:eastAsia="zh-CN" w:bidi="ar"/>
        </w:rPr>
        <w:t>本科生申请提前毕业，必须具备以下条件：</w:t>
      </w:r>
      <w:r>
        <w:rPr>
          <w:rFonts w:hint="eastAsia" w:ascii="仿宋_GB2312" w:hAnsi="仿宋" w:eastAsia="仿宋_GB2312" w:cs="仿宋_GB2312"/>
          <w:kern w:val="2"/>
          <w:sz w:val="30"/>
          <w:szCs w:val="30"/>
          <w:lang w:val="en-US" w:eastAsia="zh-CN" w:bidi="ar"/>
        </w:rPr>
        <w:br w:type="textWrapping"/>
      </w:r>
      <w:r>
        <w:rPr>
          <w:rFonts w:hint="eastAsia" w:ascii="仿宋_GB2312" w:hAnsi="仿宋" w:eastAsia="仿宋_GB2312" w:cs="仿宋_GB2312"/>
          <w:kern w:val="2"/>
          <w:sz w:val="30"/>
          <w:szCs w:val="30"/>
          <w:lang w:val="en-US" w:eastAsia="zh-CN" w:bidi="ar"/>
        </w:rPr>
        <w:t xml:space="preserve">    学生在校学习期间遵纪守法，无纪律处分，各方面表现突出；已修完专业培养方案与教学计划规定的前四学期全部课程（五年制本科为前六学期），获得相应的学分，平均学分绩点达到4.0，且排名在本学院同年级同专业的前3%；课程无补考、重修记录；体能测试必须达标。</w:t>
      </w:r>
    </w:p>
    <w:p>
      <w:pPr>
        <w:keepNext w:val="0"/>
        <w:keepLines w:val="0"/>
        <w:widowControl w:val="0"/>
        <w:suppressLineNumbers w:val="0"/>
        <w:autoSpaceDE w:val="0"/>
        <w:autoSpaceDN/>
        <w:spacing w:before="0" w:beforeAutospacing="0" w:after="0" w:afterAutospacing="0" w:line="500" w:lineRule="exact"/>
        <w:ind w:left="0" w:right="0" w:firstLine="600" w:firstLineChars="200"/>
        <w:jc w:val="left"/>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申请提前毕业的学生须在其第五学期（五年制本科为第七学期）开学一周内向所在教学院提交书面申请报告，领取并填写《宜春学院本科生提前毕业申请表》，需附已修课程成绩单和剩余学期所有课程（含实践实习等）修读计划书，经所在教学院教授工作委员会或教学指导委员会审议，并经教学院党政联席会审核同意，由教学院院长签字盖章后，报教务处审核。教务处审核后，报分管校长审批。经审批同意后，由申请提前毕业学生所在教学院安排其毕业论文、毕业实践教学和剩余学期课程。</w:t>
      </w:r>
    </w:p>
    <w:p>
      <w:pPr>
        <w:keepNext w:val="0"/>
        <w:keepLines w:val="0"/>
        <w:widowControl w:val="0"/>
        <w:suppressLineNumbers w:val="0"/>
        <w:autoSpaceDE w:val="0"/>
        <w:autoSpaceDN/>
        <w:spacing w:before="0" w:beforeAutospacing="0" w:after="0" w:afterAutospacing="0" w:line="500" w:lineRule="exact"/>
        <w:ind w:left="0" w:right="0" w:firstLine="600" w:firstLineChars="200"/>
        <w:jc w:val="left"/>
        <w:rPr>
          <w:rFonts w:hint="eastAsia" w:ascii="仿宋_GB2312" w:hAnsi="仿宋" w:eastAsia="仿宋_GB2312" w:cs="仿宋_GB2312"/>
          <w:b/>
          <w:bCs w:val="0"/>
          <w:sz w:val="30"/>
          <w:szCs w:val="30"/>
          <w:lang w:val="en-US"/>
        </w:rPr>
      </w:pPr>
      <w:r>
        <w:rPr>
          <w:rFonts w:hint="eastAsia" w:ascii="仿宋_GB2312" w:hAnsi="仿宋" w:eastAsia="仿宋_GB2312" w:cs="仿宋_GB2312"/>
          <w:kern w:val="2"/>
          <w:sz w:val="30"/>
          <w:szCs w:val="30"/>
          <w:lang w:val="en-US" w:eastAsia="zh-CN" w:bidi="ar"/>
        </w:rPr>
        <w:t>提前毕业的学生应按标准学制缴纳学费。已获得提前毕业资格的学生，如果毕业时不能按期取得毕业证书，不得申请延长学习年限，按结业或肄业处理。</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b/>
          <w:bCs w:val="0"/>
          <w:sz w:val="30"/>
          <w:szCs w:val="30"/>
          <w:lang w:val="en-US"/>
        </w:rPr>
      </w:pPr>
      <w:r>
        <w:rPr>
          <w:rFonts w:hint="eastAsia" w:ascii="仿宋_GB2312" w:hAnsi="仿宋" w:eastAsia="仿宋_GB2312" w:cs="仿宋_GB2312"/>
          <w:b/>
          <w:bCs w:val="0"/>
          <w:kern w:val="2"/>
          <w:sz w:val="30"/>
          <w:szCs w:val="30"/>
          <w:lang w:val="en-US" w:eastAsia="zh-CN" w:bidi="ar"/>
        </w:rPr>
        <w:t xml:space="preserve">第二十四条 </w:t>
      </w:r>
      <w:r>
        <w:rPr>
          <w:rFonts w:hint="eastAsia" w:ascii="仿宋_GB2312" w:hAnsi="仿宋" w:eastAsia="仿宋_GB2312" w:cs="仿宋_GB2312"/>
          <w:kern w:val="2"/>
          <w:sz w:val="30"/>
          <w:szCs w:val="30"/>
          <w:lang w:val="en-US" w:eastAsia="zh-CN" w:bidi="ar"/>
        </w:rPr>
        <w:t>在规定学制年限内没有达到毕业条件的，可在学籍保留年限内提出申请并按规定办理相关手续，留校继续学习。结业的学生，也可在下一学年考试时回校参加考试、补作毕业设计（论文）等，考核合格后准予毕业，达到相应学位授予条件者授予学位。</w:t>
      </w:r>
    </w:p>
    <w:p>
      <w:pPr>
        <w:pStyle w:val="19"/>
        <w:widowControl/>
        <w:snapToGrid w:val="0"/>
        <w:spacing w:line="600" w:lineRule="exact"/>
        <w:rPr>
          <w:rFonts w:hAnsi="宋体"/>
          <w:bCs/>
          <w:sz w:val="32"/>
          <w:szCs w:val="32"/>
          <w:lang w:val="en-US"/>
        </w:rPr>
      </w:pPr>
      <w:r>
        <w:rPr>
          <w:rFonts w:hAnsi="宋体"/>
          <w:bCs/>
          <w:sz w:val="32"/>
          <w:szCs w:val="32"/>
          <w:lang w:eastAsia="zh-CN"/>
        </w:rPr>
        <w:t>第七章  附　　则</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第二十五条 </w:t>
      </w:r>
      <w:r>
        <w:rPr>
          <w:rFonts w:hint="eastAsia" w:ascii="仿宋_GB2312" w:hAnsi="仿宋" w:eastAsia="仿宋_GB2312" w:cs="仿宋_GB2312"/>
          <w:kern w:val="2"/>
          <w:sz w:val="30"/>
          <w:szCs w:val="30"/>
          <w:lang w:val="en-US" w:eastAsia="zh-CN" w:bidi="ar"/>
        </w:rPr>
        <w:t>本办法经宜春学院2020年12月29日校长办公会审议通过,自2020级学生开始执行，2020级以前的学生按照原办法执行。</w:t>
      </w:r>
    </w:p>
    <w:p>
      <w:pPr>
        <w:keepNext w:val="0"/>
        <w:keepLines w:val="0"/>
        <w:widowControl w:val="0"/>
        <w:suppressLineNumbers w:val="0"/>
        <w:spacing w:before="0" w:beforeAutospacing="0" w:after="0" w:afterAutospacing="0" w:line="540" w:lineRule="exact"/>
        <w:ind w:left="0" w:right="0" w:firstLine="602" w:firstLineChars="200"/>
        <w:jc w:val="both"/>
        <w:rPr>
          <w:rFonts w:hint="eastAsia" w:ascii="仿宋" w:hAnsi="仿宋" w:eastAsia="仿宋" w:cs="仿宋"/>
          <w:sz w:val="32"/>
          <w:szCs w:val="32"/>
          <w:lang w:val="en-US"/>
        </w:rPr>
      </w:pPr>
      <w:r>
        <w:rPr>
          <w:rFonts w:hint="eastAsia" w:ascii="仿宋_GB2312" w:hAnsi="仿宋" w:eastAsia="仿宋_GB2312" w:cs="仿宋_GB2312"/>
          <w:b/>
          <w:bCs w:val="0"/>
          <w:kern w:val="2"/>
          <w:sz w:val="30"/>
          <w:szCs w:val="30"/>
          <w:lang w:val="en-US" w:eastAsia="zh-CN" w:bidi="ar"/>
        </w:rPr>
        <w:t xml:space="preserve">第二十六条 </w:t>
      </w:r>
      <w:r>
        <w:rPr>
          <w:rFonts w:hint="eastAsia" w:ascii="仿宋_GB2312" w:hAnsi="仿宋" w:eastAsia="仿宋_GB2312" w:cs="仿宋_GB2312"/>
          <w:kern w:val="2"/>
          <w:sz w:val="30"/>
          <w:szCs w:val="30"/>
          <w:lang w:val="en-US" w:eastAsia="zh-CN" w:bidi="ar"/>
        </w:rPr>
        <w:t>本办法由教务处负责解释。2020级以前的学生执行完后原《宜春学院普通本科生学分制管理办法》（〔2017〕140号）废止。</w:t>
      </w:r>
    </w:p>
    <w:bookmarkEnd w:id="2"/>
    <w:bookmarkEnd w:id="3"/>
    <w:p>
      <w:pPr>
        <w:keepNext w:val="0"/>
        <w:keepLines w:val="0"/>
        <w:widowControl w:val="0"/>
        <w:suppressLineNumbers w:val="0"/>
        <w:spacing w:before="0" w:beforeAutospacing="0" w:after="0" w:afterAutospacing="0"/>
        <w:ind w:left="0" w:right="0"/>
        <w:jc w:val="both"/>
        <w:rPr>
          <w:lang w:val="en-US"/>
        </w:rPr>
      </w:pPr>
    </w:p>
    <w:p>
      <w:pPr>
        <w:pStyle w:val="3"/>
        <w:widowControl/>
        <w:spacing w:before="0" w:beforeAutospacing="0" w:after="0" w:afterAutospacing="0"/>
        <w:ind w:left="0" w:right="0"/>
        <w:jc w:val="center"/>
        <w:rPr>
          <w:rFonts w:hint="eastAsia" w:ascii="宋体" w:hAnsi="宋体" w:eastAsia="宋体" w:cs="宋体"/>
          <w:bCs w:val="0"/>
          <w:sz w:val="44"/>
          <w:szCs w:val="44"/>
          <w:lang w:val="en-US"/>
        </w:rPr>
      </w:pPr>
      <w:r>
        <w:rPr>
          <w:rFonts w:hint="eastAsia" w:ascii="仿宋_GB2312" w:hAnsi="Arial" w:eastAsia="仿宋_GB2312" w:cs="Times New Roman"/>
          <w:b/>
          <w:kern w:val="2"/>
          <w:sz w:val="28"/>
          <w:szCs w:val="28"/>
          <w:lang w:val="en-US" w:eastAsia="zh-CN" w:bidi="ar"/>
        </w:rPr>
        <w:br w:type="page"/>
      </w:r>
      <w:bookmarkStart w:id="4" w:name="_Toc525899099"/>
      <w:r>
        <w:rPr>
          <w:rFonts w:hint="eastAsia" w:ascii="宋体" w:hAnsi="宋体" w:eastAsia="宋体" w:cs="宋体"/>
          <w:bCs w:val="0"/>
          <w:sz w:val="44"/>
          <w:szCs w:val="44"/>
          <w:lang w:eastAsia="zh-CN"/>
        </w:rPr>
        <w:t>宜春学院全日制本科生修读辅修专业学士学位及辅修专业管理办法</w:t>
      </w:r>
      <w:bookmarkEnd w:id="4"/>
    </w:p>
    <w:p>
      <w:pPr>
        <w:pStyle w:val="19"/>
        <w:widowControl/>
        <w:snapToGrid w:val="0"/>
        <w:spacing w:line="600" w:lineRule="exact"/>
        <w:rPr>
          <w:rFonts w:hint="eastAsia" w:ascii="仿宋" w:hAnsi="仿宋" w:eastAsia="仿宋" w:cs="仿宋"/>
          <w:b/>
          <w:sz w:val="32"/>
          <w:szCs w:val="32"/>
          <w:lang w:val="en-US"/>
        </w:rPr>
      </w:pPr>
    </w:p>
    <w:p>
      <w:pPr>
        <w:pStyle w:val="19"/>
        <w:widowControl/>
        <w:snapToGrid w:val="0"/>
        <w:spacing w:line="600" w:lineRule="exact"/>
        <w:rPr>
          <w:rFonts w:hAnsi="宋体"/>
          <w:bCs/>
          <w:sz w:val="30"/>
          <w:szCs w:val="30"/>
          <w:lang w:val="en-US"/>
        </w:rPr>
      </w:pPr>
      <w:r>
        <w:rPr>
          <w:rFonts w:hAnsi="宋体"/>
          <w:bCs/>
          <w:sz w:val="30"/>
          <w:szCs w:val="30"/>
          <w:lang w:eastAsia="zh-CN"/>
        </w:rPr>
        <w:t>第一章　总　则</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第一条</w:t>
      </w:r>
      <w:r>
        <w:rPr>
          <w:rFonts w:hint="eastAsia" w:ascii="仿宋_GB2312" w:hAnsi="仿宋" w:eastAsia="仿宋_GB2312" w:cs="仿宋_GB2312"/>
          <w:kern w:val="2"/>
          <w:sz w:val="30"/>
          <w:szCs w:val="30"/>
          <w:lang w:val="en-US" w:eastAsia="zh-CN" w:bidi="ar"/>
        </w:rPr>
        <w:t>　为培养更多厚基础、宽口径、高素质、富有创新精神和实践能力的复合型、应用型人才，增强学生的就业竞争力，进一步规范和加强全日制普通本科学生修读辅修专业学士学位工作的管理。根据国务院学位委员会印发《学士学位授权与授予管理办法》（学位[2019]20号）等文件精神，结合学校实际，特制定本办法。</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第二条</w:t>
      </w:r>
      <w:r>
        <w:rPr>
          <w:rFonts w:hint="eastAsia" w:ascii="仿宋_GB2312" w:hAnsi="仿宋" w:eastAsia="仿宋_GB2312" w:cs="仿宋_GB2312"/>
          <w:kern w:val="2"/>
          <w:sz w:val="30"/>
          <w:szCs w:val="30"/>
          <w:lang w:val="en-US" w:eastAsia="zh-CN" w:bidi="ar"/>
        </w:rPr>
        <w:t>　学生在攻读主修专业学士学位的同时，修读学校开办的非本专业所属学科门类以外的其他专业学士学位，符合辅修专业学士学位授予条件者，可申请获得辅修专业学士学位（以下简称“辅修学位”）。在同一学科门类下修读相近专业，符合辅修专业毕业证明颁发条件者，可获得辅修专业毕业证明（以下简称“辅修专业”）。</w:t>
      </w:r>
    </w:p>
    <w:p>
      <w:pPr>
        <w:pStyle w:val="19"/>
        <w:widowControl/>
        <w:snapToGrid w:val="0"/>
        <w:spacing w:line="600" w:lineRule="exact"/>
        <w:rPr>
          <w:rFonts w:hAnsi="宋体"/>
          <w:bCs/>
          <w:sz w:val="30"/>
          <w:szCs w:val="30"/>
          <w:lang w:val="en-US"/>
        </w:rPr>
      </w:pPr>
      <w:r>
        <w:rPr>
          <w:rFonts w:hAnsi="宋体"/>
          <w:bCs/>
          <w:sz w:val="30"/>
          <w:szCs w:val="30"/>
          <w:lang w:eastAsia="zh-CN"/>
        </w:rPr>
        <w:t>第二章　修读申请</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第三条</w:t>
      </w:r>
      <w:r>
        <w:rPr>
          <w:rFonts w:hint="eastAsia" w:ascii="仿宋_GB2312" w:hAnsi="仿宋" w:eastAsia="仿宋_GB2312" w:cs="仿宋_GB2312"/>
          <w:kern w:val="2"/>
          <w:sz w:val="30"/>
          <w:szCs w:val="30"/>
          <w:lang w:val="en-US" w:eastAsia="zh-CN" w:bidi="ar"/>
        </w:rPr>
        <w:t>　学校全日制在籍本科生，原则上连续两个学期的平均成绩在60分（含）以上者，可申请攻读辅修学位或辅修专业。符合修读条件的学生，只能选修1个辅修学位或辅修专业。</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第四条</w:t>
      </w:r>
      <w:r>
        <w:rPr>
          <w:rFonts w:hint="eastAsia" w:ascii="仿宋_GB2312" w:hAnsi="仿宋" w:eastAsia="仿宋_GB2312" w:cs="仿宋_GB2312"/>
          <w:kern w:val="2"/>
          <w:sz w:val="30"/>
          <w:szCs w:val="30"/>
          <w:lang w:val="en-US" w:eastAsia="zh-CN" w:bidi="ar"/>
        </w:rPr>
        <w:t>　开设辅修学位/辅修专业的教学院，应提前将本教学院所开设辅修学位/辅修专业的专业名称、培养方案报教务处，教务处在春、秋季学期放假前予以公布。</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第五条</w:t>
      </w:r>
      <w:r>
        <w:rPr>
          <w:rFonts w:hint="eastAsia" w:ascii="仿宋_GB2312" w:hAnsi="仿宋" w:eastAsia="仿宋_GB2312" w:cs="仿宋_GB2312"/>
          <w:kern w:val="2"/>
          <w:sz w:val="30"/>
          <w:szCs w:val="30"/>
          <w:lang w:val="en-US" w:eastAsia="zh-CN" w:bidi="ar"/>
        </w:rPr>
        <w:t>　符合修读辅修学位/辅修专业条件的学生，须在每学期的第1周内，向所在教学院提交书面申请，填写《宜春学院修读辅修专业学士学位/辅修专业申请表》（以下简称《申请表》）。教学院对学生进行资格审核，经主管教学院长签字同意并加盖教学院公章后，将《申请表》转至开设辅修学位/辅修专业的教学院审批。开设辅修学位/辅修专业的教学院负责将审批情况告知学生本人及其所在教学院，同时将符合辅修学位/辅修专业修读的录取名单汇总报教务处。教务处在第2周对各教学院拟录的辅修学位/辅修专业学生名单进行复审，并及时将复审结果反馈各有关教学院。</w:t>
      </w:r>
    </w:p>
    <w:p>
      <w:pPr>
        <w:keepNext w:val="0"/>
        <w:keepLines w:val="0"/>
        <w:widowControl w:val="0"/>
        <w:suppressLineNumbers w:val="0"/>
        <w:snapToGrid w:val="0"/>
        <w:spacing w:before="0" w:beforeAutospacing="0" w:after="0" w:afterAutospacing="0" w:line="60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跨校辅修专业的按照修读学校的规定办理，其学分认定按照学校课程学分转换有关管理办法执行。</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第六条</w:t>
      </w:r>
      <w:r>
        <w:rPr>
          <w:rFonts w:hint="eastAsia" w:ascii="仿宋_GB2312" w:hAnsi="仿宋" w:eastAsia="仿宋_GB2312" w:cs="仿宋_GB2312"/>
          <w:kern w:val="2"/>
          <w:sz w:val="30"/>
          <w:szCs w:val="30"/>
          <w:lang w:val="en-US" w:eastAsia="zh-CN" w:bidi="ar"/>
        </w:rPr>
        <w:t>　开设辅修学位/辅修专业的教学院，应在第3周通知相关学生在规定时间内缴纳费用。未交费者不得参加辅修学位/辅修专业的学习。</w:t>
      </w:r>
    </w:p>
    <w:p>
      <w:pPr>
        <w:pStyle w:val="19"/>
        <w:widowControl/>
        <w:snapToGrid w:val="0"/>
        <w:spacing w:line="600" w:lineRule="exact"/>
        <w:rPr>
          <w:rFonts w:hAnsi="宋体"/>
          <w:bCs/>
          <w:sz w:val="30"/>
          <w:szCs w:val="30"/>
          <w:lang w:val="en-US"/>
        </w:rPr>
      </w:pPr>
      <w:r>
        <w:rPr>
          <w:rFonts w:hAnsi="宋体"/>
          <w:bCs/>
          <w:sz w:val="30"/>
          <w:szCs w:val="30"/>
          <w:lang w:eastAsia="zh-CN"/>
        </w:rPr>
        <w:t>第三章　教学安排</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第七条</w:t>
      </w:r>
      <w:r>
        <w:rPr>
          <w:rFonts w:hint="eastAsia" w:ascii="仿宋_GB2312" w:hAnsi="仿宋" w:eastAsia="仿宋_GB2312" w:cs="仿宋_GB2312"/>
          <w:kern w:val="2"/>
          <w:sz w:val="30"/>
          <w:szCs w:val="30"/>
          <w:lang w:val="en-US" w:eastAsia="zh-CN" w:bidi="ar"/>
        </w:rPr>
        <w:t>　辅修学位/辅修专业的人才培养方案由开设辅修学位/辅修专业所在教学院按照本科专业人才培养方案要求制订，经学校审核后实施。课程主要由专业基础课、专业核心课等组成；教学培养要求应与该专业本科人才培养要求一致。</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第八条</w:t>
      </w:r>
      <w:r>
        <w:rPr>
          <w:rFonts w:hint="eastAsia" w:ascii="仿宋_GB2312" w:hAnsi="仿宋" w:eastAsia="仿宋_GB2312" w:cs="仿宋_GB2312"/>
          <w:kern w:val="2"/>
          <w:sz w:val="30"/>
          <w:szCs w:val="30"/>
          <w:lang w:val="en-US" w:eastAsia="zh-CN" w:bidi="ar"/>
        </w:rPr>
        <w:t>　辅修学位/辅修专业修读时间为两年。辅修学位总学分为30学分左右，包括毕业设计（论文）等实践环节，毕业设计（论文）6学分；辅修专业总学分为20学分左右。</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第九条</w:t>
      </w:r>
      <w:r>
        <w:rPr>
          <w:rFonts w:hint="eastAsia" w:ascii="仿宋_GB2312" w:hAnsi="仿宋" w:eastAsia="仿宋_GB2312" w:cs="仿宋_GB2312"/>
          <w:kern w:val="2"/>
          <w:sz w:val="30"/>
          <w:szCs w:val="30"/>
          <w:lang w:val="en-US" w:eastAsia="zh-CN" w:bidi="ar"/>
        </w:rPr>
        <w:t>　辅修学位/辅修专业的课程教学，可采取单独开班、随堂听课选修等形式。选修人数达到20人的专业，原则上须单独开班授课。上课时间一般为双休日、节假日、晚上或寒暑假。</w:t>
      </w:r>
    </w:p>
    <w:p>
      <w:pPr>
        <w:pStyle w:val="19"/>
        <w:widowControl/>
        <w:snapToGrid w:val="0"/>
        <w:spacing w:line="600" w:lineRule="exact"/>
        <w:rPr>
          <w:rFonts w:hAnsi="宋体"/>
          <w:bCs/>
          <w:sz w:val="30"/>
          <w:szCs w:val="30"/>
          <w:lang w:val="en-US"/>
        </w:rPr>
      </w:pPr>
      <w:r>
        <w:rPr>
          <w:rFonts w:hAnsi="宋体"/>
          <w:bCs/>
          <w:sz w:val="30"/>
          <w:szCs w:val="30"/>
          <w:lang w:eastAsia="zh-CN"/>
        </w:rPr>
        <w:t>第四章　考核与成绩记载</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第十条</w:t>
      </w:r>
      <w:r>
        <w:rPr>
          <w:rFonts w:hint="eastAsia" w:ascii="仿宋_GB2312" w:hAnsi="仿宋" w:eastAsia="仿宋_GB2312" w:cs="仿宋_GB2312"/>
          <w:kern w:val="2"/>
          <w:sz w:val="30"/>
          <w:szCs w:val="30"/>
          <w:lang w:val="en-US" w:eastAsia="zh-CN" w:bidi="ar"/>
        </w:rPr>
        <w:t>　开设辅修学位/辅修专业的教学院负责建立辅修学位/辅修专业学生的学籍档案，并依据学校相关规定和本办法进行规范管理。辅修学位/辅修专业学生的成绩由开设辅修学位/辅修专业的教学院负责管理，学生修业完毕，由开设辅修学位/辅修专业的教学院出具成绩单一式4份，经教务处审核后，2份由学生所在教学院存入学生学籍档案，1份留教务处备案，1份留开设辅修学位/辅修专业的教学院存档。</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第十一条</w:t>
      </w:r>
      <w:r>
        <w:rPr>
          <w:rFonts w:hint="eastAsia" w:ascii="仿宋_GB2312" w:hAnsi="仿宋" w:eastAsia="仿宋_GB2312" w:cs="仿宋_GB2312"/>
          <w:kern w:val="2"/>
          <w:sz w:val="30"/>
          <w:szCs w:val="30"/>
          <w:lang w:val="en-US" w:eastAsia="zh-CN" w:bidi="ar"/>
        </w:rPr>
        <w:t>　辅修学位/辅修专业课程授课结束后，任课教师按本专业学生相同的标准和要求，对修读辅修学位/辅修专业的学生进行考核和评分。</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第十二条</w:t>
      </w:r>
      <w:r>
        <w:rPr>
          <w:rFonts w:hint="eastAsia" w:ascii="仿宋_GB2312" w:hAnsi="仿宋" w:eastAsia="仿宋_GB2312" w:cs="仿宋_GB2312"/>
          <w:kern w:val="2"/>
          <w:sz w:val="30"/>
          <w:szCs w:val="30"/>
          <w:lang w:val="en-US" w:eastAsia="zh-CN" w:bidi="ar"/>
        </w:rPr>
        <w:t>　辅修学位/辅修专业学生的学籍实行独立管理，学生修读辅修学位/辅修专业的课程成绩不影响其主修专业的学籍管理。修读辅修学位/辅修专业学生，应首先保证完成主修专业课程的学习，如主修专业课程在学习过程中达到学校学生学籍管理有关办法中的退学条件，其修读辅修学位/辅修专业资格予以取消。</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第十三条</w:t>
      </w:r>
      <w:r>
        <w:rPr>
          <w:rFonts w:hint="eastAsia" w:ascii="仿宋_GB2312" w:hAnsi="仿宋" w:eastAsia="仿宋_GB2312" w:cs="仿宋_GB2312"/>
          <w:kern w:val="2"/>
          <w:sz w:val="30"/>
          <w:szCs w:val="30"/>
          <w:lang w:val="en-US" w:eastAsia="zh-CN" w:bidi="ar"/>
        </w:rPr>
        <w:t>　辅修学位/辅修专业课程考核未通过的学生，可在下学期开学初参加补考。补考未通过或对成绩不满意者，可缴纳一定费用，随下一年级学生重新选课学习。</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第十四条</w:t>
      </w:r>
      <w:r>
        <w:rPr>
          <w:rFonts w:hint="eastAsia" w:ascii="仿宋_GB2312" w:hAnsi="仿宋" w:eastAsia="仿宋_GB2312" w:cs="仿宋_GB2312"/>
          <w:kern w:val="2"/>
          <w:sz w:val="30"/>
          <w:szCs w:val="30"/>
          <w:lang w:val="en-US" w:eastAsia="zh-CN" w:bidi="ar"/>
        </w:rPr>
        <w:t>　辅修学位/辅修专业课程成绩合格取得的学分，可冲抵主修专业培养方案中规定需修的任意公共选修课学分。</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第十五条</w:t>
      </w:r>
      <w:r>
        <w:rPr>
          <w:rFonts w:hint="eastAsia" w:ascii="仿宋_GB2312" w:hAnsi="仿宋" w:eastAsia="仿宋_GB2312" w:cs="仿宋_GB2312"/>
          <w:kern w:val="2"/>
          <w:sz w:val="30"/>
          <w:szCs w:val="30"/>
          <w:lang w:val="en-US" w:eastAsia="zh-CN" w:bidi="ar"/>
        </w:rPr>
        <w:t>　辅修学位/辅修专业课程与主修专业课程相同或相近，主修专业课程学分大于或等于辅修学位/辅修专业课程学分且课程成绩合格，可申请辅修学位/辅修专业专业课程免修；毕业设计（论文）不得申请免修；免修课程总学分累计不得超过6学分；免修课程成绩标注“免修”，给予课程学分。</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第十六条</w:t>
      </w:r>
      <w:r>
        <w:rPr>
          <w:rFonts w:hint="eastAsia" w:ascii="仿宋_GB2312" w:hAnsi="仿宋" w:eastAsia="仿宋_GB2312" w:cs="仿宋_GB2312"/>
          <w:kern w:val="2"/>
          <w:sz w:val="30"/>
          <w:szCs w:val="30"/>
          <w:lang w:val="en-US" w:eastAsia="zh-CN" w:bidi="ar"/>
        </w:rPr>
        <w:t>　修读期间，若辅修学位/辅修专业课程与主修专业课程在上课、实践教学环节或考试时间的安排上有冲突，学生应优先保证主修专业的学习和考试。因时间冲突未修读的课程内容，学生应通过自学等方式补上；若考试时间发生冲突，学生可在考前向辅修学位/辅修专业课程开课学院提交书面缓考申请，经开课教学院批准后，可参加补考或随下一年级学生一同考试。</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第十七条</w:t>
      </w:r>
      <w:r>
        <w:rPr>
          <w:rFonts w:hint="eastAsia" w:ascii="仿宋_GB2312" w:hAnsi="仿宋" w:eastAsia="仿宋_GB2312" w:cs="仿宋_GB2312"/>
          <w:kern w:val="2"/>
          <w:sz w:val="30"/>
          <w:szCs w:val="30"/>
          <w:lang w:val="en-US" w:eastAsia="zh-CN" w:bidi="ar"/>
        </w:rPr>
        <w:t>　学生在修读辅修学位/辅修专业过程中，如遇特殊情况不能继续修读，应办理退学手续。退学申请由学生向开设辅修学位/辅修专业的教学院提出并经批准后报教务处备案，擅自退学者，学校对其修读辅修学位/辅修专业的课程已获得的学分不予认可。</w:t>
      </w:r>
    </w:p>
    <w:p>
      <w:pPr>
        <w:pStyle w:val="19"/>
        <w:widowControl/>
        <w:snapToGrid w:val="0"/>
        <w:spacing w:line="600" w:lineRule="exact"/>
        <w:rPr>
          <w:rFonts w:hAnsi="宋体"/>
          <w:bCs/>
          <w:sz w:val="30"/>
          <w:szCs w:val="30"/>
          <w:lang w:val="en-US"/>
        </w:rPr>
      </w:pPr>
      <w:r>
        <w:rPr>
          <w:rFonts w:hAnsi="宋体"/>
          <w:bCs/>
          <w:sz w:val="30"/>
          <w:szCs w:val="30"/>
          <w:lang w:eastAsia="zh-CN"/>
        </w:rPr>
        <w:t>第五章　毕业与学位授予</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第十八条</w:t>
      </w:r>
      <w:r>
        <w:rPr>
          <w:rFonts w:hint="eastAsia" w:ascii="仿宋_GB2312" w:hAnsi="仿宋" w:eastAsia="仿宋_GB2312" w:cs="仿宋_GB2312"/>
          <w:kern w:val="2"/>
          <w:sz w:val="30"/>
          <w:szCs w:val="30"/>
          <w:lang w:val="en-US" w:eastAsia="zh-CN" w:bidi="ar"/>
        </w:rPr>
        <w:t>　辅修学位学生的毕业资格审核工作由开设辅修学位的教学院负责，辅修学位资格申请与主修专业学士学位资格申请同时进行。辅修学位的授予应经开设辅修学位的教学院学位评定分委员会审议通过，由教务处复核后，报校学位评定委员会审议。</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第十九条</w:t>
      </w:r>
      <w:r>
        <w:rPr>
          <w:rFonts w:hint="eastAsia" w:ascii="仿宋_GB2312" w:hAnsi="仿宋" w:eastAsia="仿宋_GB2312" w:cs="仿宋_GB2312"/>
          <w:kern w:val="2"/>
          <w:sz w:val="30"/>
          <w:szCs w:val="30"/>
          <w:lang w:val="en-US" w:eastAsia="zh-CN" w:bidi="ar"/>
        </w:rPr>
        <w:t xml:space="preserve">  修读辅修学位的学生，在主修专业学制规定的学习期限内，修满辅修学位专业教学计划规定的学分，符合学校学士学位授予条件，并获得主修专业学位证书者，可申请辅修专业学士学位。辅修专业学士学位在主修专业学士学位证书中予以注明，不单独发放学位证书，且不予补授或追授。</w:t>
      </w:r>
    </w:p>
    <w:p>
      <w:pPr>
        <w:keepNext w:val="0"/>
        <w:keepLines w:val="0"/>
        <w:widowControl w:val="0"/>
        <w:suppressLineNumbers w:val="0"/>
        <w:snapToGrid w:val="0"/>
        <w:spacing w:before="0" w:beforeAutospacing="0" w:after="0" w:afterAutospacing="0" w:line="60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修满辅修学位教学计划规定的学分，或修完辅修专业所规定的学分，且获得主修专业毕业证书但未获得主修专业学位证书者，只另颁发辅修专业证书。</w:t>
      </w:r>
    </w:p>
    <w:p>
      <w:pPr>
        <w:keepNext w:val="0"/>
        <w:keepLines w:val="0"/>
        <w:widowControl w:val="0"/>
        <w:suppressLineNumbers w:val="0"/>
        <w:snapToGrid w:val="0"/>
        <w:spacing w:before="0" w:beforeAutospacing="0" w:after="0" w:afterAutospacing="0" w:line="60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 xml:space="preserve">修满辅修学位教学计划规定的学分，但未获得主修专业毕业证书者，暂不颁发辅修专业证书。主修专业经返校补考获得毕业证书者，方可颁发辅修专业证书。  </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u w:val="single"/>
          <w:lang w:val="en-US"/>
        </w:rPr>
      </w:pPr>
      <w:r>
        <w:rPr>
          <w:rFonts w:hint="eastAsia" w:ascii="仿宋_GB2312" w:hAnsi="仿宋" w:eastAsia="仿宋_GB2312" w:cs="仿宋_GB2312"/>
          <w:b/>
          <w:kern w:val="2"/>
          <w:sz w:val="30"/>
          <w:szCs w:val="30"/>
          <w:lang w:val="en-US" w:eastAsia="zh-CN" w:bidi="ar"/>
        </w:rPr>
        <w:t>第二十条</w:t>
      </w:r>
      <w:r>
        <w:rPr>
          <w:rFonts w:hint="eastAsia" w:ascii="仿宋_GB2312" w:hAnsi="仿宋" w:eastAsia="仿宋_GB2312" w:cs="仿宋_GB2312"/>
          <w:kern w:val="2"/>
          <w:sz w:val="30"/>
          <w:szCs w:val="30"/>
          <w:lang w:val="en-US" w:eastAsia="zh-CN" w:bidi="ar"/>
        </w:rPr>
        <w:t xml:space="preserve">  学校发布的所有教学管理规章制度（除特别明示外）均适用于辅修学位/辅修专业的教学管理，各教学院参考相关规章制度规范辅修学位/辅修专业教学管理工作，确保教学质量。</w:t>
      </w:r>
    </w:p>
    <w:p>
      <w:pPr>
        <w:pStyle w:val="19"/>
        <w:widowControl/>
        <w:snapToGrid w:val="0"/>
        <w:spacing w:line="600" w:lineRule="exact"/>
        <w:rPr>
          <w:rFonts w:hAnsi="宋体"/>
          <w:bCs/>
          <w:sz w:val="30"/>
          <w:szCs w:val="30"/>
          <w:lang w:val="en-US"/>
        </w:rPr>
      </w:pPr>
      <w:r>
        <w:rPr>
          <w:rFonts w:hAnsi="宋体"/>
          <w:bCs/>
          <w:sz w:val="30"/>
          <w:szCs w:val="30"/>
          <w:lang w:eastAsia="zh-CN"/>
        </w:rPr>
        <w:t>第六章</w:t>
      </w:r>
      <w:r>
        <w:rPr>
          <w:rFonts w:hAnsi="宋体"/>
          <w:bCs/>
          <w:sz w:val="30"/>
          <w:szCs w:val="30"/>
          <w:lang w:val="en-US"/>
        </w:rPr>
        <w:t xml:space="preserve">  </w:t>
      </w:r>
      <w:r>
        <w:rPr>
          <w:rFonts w:hAnsi="宋体"/>
          <w:bCs/>
          <w:sz w:val="30"/>
          <w:szCs w:val="30"/>
          <w:lang w:eastAsia="zh-CN"/>
        </w:rPr>
        <w:t>收费标准</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第二十一条</w:t>
      </w:r>
      <w:r>
        <w:rPr>
          <w:rFonts w:hint="eastAsia" w:ascii="仿宋_GB2312" w:hAnsi="仿宋" w:eastAsia="仿宋_GB2312" w:cs="仿宋_GB2312"/>
          <w:kern w:val="2"/>
          <w:sz w:val="30"/>
          <w:szCs w:val="30"/>
          <w:lang w:val="en-US" w:eastAsia="zh-CN" w:bidi="ar"/>
        </w:rPr>
        <w:t>　辅修专业学士学位收费标准按照赣发改收费字〔2010〕1582号文件中规定收费标准的80%执行，辅修专业的收费按60%执行。修读辅修学位/辅修专业的学生须在学校规定的时间内办理交费手续，未按期缴清费用者，视为自动放弃辅修学位/辅修专业学习。</w:t>
      </w:r>
    </w:p>
    <w:p>
      <w:pPr>
        <w:pStyle w:val="19"/>
        <w:widowControl/>
        <w:snapToGrid w:val="0"/>
        <w:spacing w:line="600" w:lineRule="exact"/>
        <w:rPr>
          <w:rFonts w:hAnsi="宋体"/>
          <w:bCs/>
          <w:sz w:val="30"/>
          <w:szCs w:val="30"/>
          <w:lang w:val="en-US"/>
        </w:rPr>
      </w:pPr>
      <w:r>
        <w:rPr>
          <w:rFonts w:hAnsi="宋体"/>
          <w:bCs/>
          <w:sz w:val="30"/>
          <w:szCs w:val="30"/>
          <w:lang w:eastAsia="zh-CN"/>
        </w:rPr>
        <w:t>第七章　附　则</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第二十二条</w:t>
      </w:r>
      <w:r>
        <w:rPr>
          <w:rFonts w:hint="eastAsia" w:ascii="仿宋_GB2312" w:hAnsi="仿宋" w:eastAsia="仿宋_GB2312" w:cs="仿宋_GB2312"/>
          <w:kern w:val="2"/>
          <w:sz w:val="30"/>
          <w:szCs w:val="30"/>
          <w:lang w:val="en-US" w:eastAsia="zh-CN" w:bidi="ar"/>
        </w:rPr>
        <w:t>　本办法经宜春学院2020年12月29日校长办公会审议通过，自颁布之日起实施。为做好工作衔接，保证平稳过渡，2022年7月之前，原修读双学位的学生，如能取得主修学位且符合双学位授予资格，仍按照《宜春学院全日制本科生修读双学位管理办法》（宜学院字〔2017〕140号）执行。</w:t>
      </w:r>
    </w:p>
    <w:p>
      <w:pPr>
        <w:keepNext w:val="0"/>
        <w:keepLines w:val="0"/>
        <w:widowControl w:val="0"/>
        <w:suppressLineNumbers w:val="0"/>
        <w:snapToGrid w:val="0"/>
        <w:spacing w:before="0" w:beforeAutospacing="0" w:after="0" w:afterAutospacing="0" w:line="60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第二十三条</w:t>
      </w:r>
      <w:r>
        <w:rPr>
          <w:rFonts w:hint="eastAsia" w:ascii="仿宋_GB2312" w:hAnsi="仿宋" w:eastAsia="仿宋_GB2312" w:cs="仿宋_GB2312"/>
          <w:kern w:val="2"/>
          <w:sz w:val="30"/>
          <w:szCs w:val="30"/>
          <w:lang w:val="en-US" w:eastAsia="zh-CN" w:bidi="ar"/>
        </w:rPr>
        <w:t xml:space="preserve">  本办法由教务处负责解释。过渡期结束后，《宜春学院全日制本科生修读双学位管理办法》（宜学院字〔2017〕140号）废止。</w:t>
      </w:r>
    </w:p>
    <w:p>
      <w:pPr>
        <w:pStyle w:val="3"/>
        <w:widowControl/>
        <w:spacing w:before="0" w:beforeAutospacing="0" w:after="0" w:afterAutospacing="0" w:line="480" w:lineRule="exact"/>
        <w:ind w:left="0" w:right="0"/>
        <w:jc w:val="center"/>
        <w:rPr>
          <w:rFonts w:hint="eastAsia" w:ascii="宋体" w:hAnsi="宋体" w:eastAsia="宋体" w:cs="宋体"/>
          <w:sz w:val="44"/>
          <w:szCs w:val="44"/>
          <w:lang w:val="en-US"/>
        </w:rPr>
      </w:pPr>
      <w:r>
        <w:rPr>
          <w:rFonts w:hint="eastAsia" w:ascii="仿宋" w:hAnsi="仿宋" w:eastAsia="仿宋" w:cs="Times New Roman"/>
          <w:b/>
          <w:kern w:val="2"/>
          <w:sz w:val="30"/>
          <w:szCs w:val="30"/>
          <w:lang w:val="en-US" w:eastAsia="zh-CN" w:bidi="ar"/>
        </w:rPr>
        <w:br w:type="page"/>
      </w:r>
      <w:r>
        <w:rPr>
          <w:rFonts w:hint="eastAsia" w:ascii="宋体" w:hAnsi="宋体" w:eastAsia="宋体" w:cs="宋体"/>
          <w:sz w:val="44"/>
          <w:szCs w:val="44"/>
          <w:lang w:eastAsia="zh-CN"/>
        </w:rPr>
        <w:t>宜春学院普通本科毕业生</w:t>
      </w:r>
    </w:p>
    <w:p>
      <w:pPr>
        <w:pStyle w:val="3"/>
        <w:widowControl/>
        <w:spacing w:before="0" w:beforeAutospacing="0" w:after="0" w:afterAutospacing="0" w:line="480" w:lineRule="exact"/>
        <w:ind w:left="0" w:right="0"/>
        <w:jc w:val="center"/>
        <w:rPr>
          <w:rFonts w:hint="eastAsia" w:ascii="宋体" w:hAnsi="宋体" w:eastAsia="宋体" w:cs="宋体"/>
          <w:sz w:val="44"/>
          <w:szCs w:val="44"/>
          <w:lang w:val="en-US"/>
        </w:rPr>
      </w:pPr>
      <w:r>
        <w:rPr>
          <w:rFonts w:hint="eastAsia" w:ascii="宋体" w:hAnsi="宋体" w:eastAsia="宋体" w:cs="宋体"/>
          <w:sz w:val="44"/>
          <w:szCs w:val="44"/>
          <w:lang w:eastAsia="zh-CN"/>
        </w:rPr>
        <w:t>学士学位授予工作实施细则</w:t>
      </w:r>
      <w:r>
        <w:rPr>
          <w:rFonts w:hint="eastAsia" w:ascii="宋体" w:hAnsi="宋体" w:eastAsia="宋体" w:cs="宋体"/>
          <w:sz w:val="36"/>
          <w:szCs w:val="36"/>
          <w:lang w:eastAsia="zh-CN"/>
        </w:rPr>
        <w:t>（修订）</w:t>
      </w:r>
    </w:p>
    <w:p>
      <w:pPr>
        <w:keepNext w:val="0"/>
        <w:keepLines w:val="0"/>
        <w:widowControl w:val="0"/>
        <w:suppressLineNumbers w:val="0"/>
        <w:spacing w:before="0" w:beforeAutospacing="0" w:after="0" w:afterAutospacing="0" w:line="320" w:lineRule="exact"/>
        <w:ind w:left="0" w:right="0"/>
        <w:jc w:val="center"/>
        <w:rPr>
          <w:rFonts w:hint="eastAsia" w:ascii="宋体" w:hAnsi="Calibri" w:eastAsia="宋体" w:cs="宋体"/>
          <w:b/>
          <w:bCs w:val="0"/>
          <w:sz w:val="32"/>
          <w:szCs w:val="32"/>
          <w:lang w:val="en-US"/>
        </w:rPr>
      </w:pP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为进一步做好学校普通全日制本科毕业生学士学位授予工作，确保人才培养质量，促进学士学位授予工作规范化，根据《中华人民共和国学位条例》和《中华人民共和国学位条例暂行实施办法》有关精神，结合学校实际，特制定本细则。</w:t>
      </w:r>
    </w:p>
    <w:p>
      <w:pPr>
        <w:keepNext w:val="0"/>
        <w:keepLines w:val="0"/>
        <w:widowControl w:val="0"/>
        <w:suppressLineNumbers w:val="0"/>
        <w:spacing w:before="0" w:beforeAutospacing="0" w:after="0" w:afterAutospacing="0" w:line="560" w:lineRule="exact"/>
        <w:ind w:left="0" w:right="0" w:firstLine="3611" w:firstLineChars="1199"/>
        <w:jc w:val="both"/>
        <w:rPr>
          <w:rFonts w:hint="eastAsia" w:ascii="宋体" w:hAnsi="Calibri" w:eastAsia="宋体" w:cs="宋体"/>
          <w:b/>
          <w:bCs w:val="0"/>
          <w:sz w:val="30"/>
          <w:szCs w:val="30"/>
          <w:lang w:val="en-US"/>
        </w:rPr>
      </w:pPr>
      <w:r>
        <w:rPr>
          <w:rFonts w:hint="eastAsia" w:ascii="宋体" w:hAnsi="宋体" w:eastAsia="宋体" w:cs="宋体"/>
          <w:b/>
          <w:bCs w:val="0"/>
          <w:kern w:val="2"/>
          <w:sz w:val="30"/>
          <w:szCs w:val="30"/>
          <w:lang w:val="en-US" w:eastAsia="zh-CN" w:bidi="ar"/>
        </w:rPr>
        <w:t>授予条件</w:t>
      </w:r>
    </w:p>
    <w:p>
      <w:pPr>
        <w:keepNext w:val="0"/>
        <w:keepLines w:val="0"/>
        <w:widowControl w:val="0"/>
        <w:suppressLineNumbers w:val="0"/>
        <w:spacing w:before="0" w:beforeAutospacing="0" w:after="0" w:afterAutospacing="0"/>
        <w:ind w:left="0" w:right="0" w:firstLine="602" w:firstLineChars="200"/>
        <w:jc w:val="both"/>
      </w:pPr>
      <w:r>
        <w:rPr>
          <w:rFonts w:hint="eastAsia" w:ascii="仿宋_GB2312" w:hAnsi="仿宋" w:eastAsia="仿宋_GB2312" w:cs="仿宋_GB2312"/>
          <w:b/>
          <w:bCs w:val="0"/>
          <w:kern w:val="2"/>
          <w:sz w:val="30"/>
          <w:szCs w:val="30"/>
          <w:lang w:val="en-US" w:eastAsia="zh-CN" w:bidi="ar"/>
        </w:rPr>
        <w:t>第一条</w:t>
      </w:r>
      <w:r>
        <w:rPr>
          <w:rFonts w:hint="eastAsia" w:ascii="仿宋_GB2312" w:hAnsi="仿宋" w:eastAsia="仿宋_GB2312" w:cs="仿宋_GB2312"/>
          <w:kern w:val="2"/>
          <w:sz w:val="30"/>
          <w:szCs w:val="30"/>
          <w:lang w:val="en-US" w:eastAsia="zh-CN" w:bidi="ar"/>
        </w:rPr>
        <w:t xml:space="preserve"> </w:t>
      </w:r>
      <w:r>
        <w:rPr>
          <w:rFonts w:hint="eastAsia" w:ascii="仿宋_GB2312" w:hAnsi="仿宋" w:eastAsia="仿宋_GB2312" w:cs="仿宋_GB2312"/>
          <w:b/>
          <w:bCs w:val="0"/>
          <w:kern w:val="2"/>
          <w:sz w:val="30"/>
          <w:szCs w:val="30"/>
          <w:lang w:val="en-US" w:eastAsia="zh-CN" w:bidi="ar"/>
        </w:rPr>
        <w:t xml:space="preserve"> </w:t>
      </w:r>
      <w:r>
        <w:rPr>
          <w:rFonts w:hint="eastAsia" w:ascii="仿宋_GB2312" w:hAnsi="仿宋" w:eastAsia="仿宋_GB2312" w:cs="仿宋_GB2312"/>
          <w:kern w:val="2"/>
          <w:sz w:val="30"/>
          <w:szCs w:val="30"/>
          <w:lang w:val="en-US" w:eastAsia="zh-CN" w:bidi="ar"/>
        </w:rPr>
        <w:t>凡按教育部批准的招生计划招收的、国家承认学历的本校各专业的本科毕业生，符合本实施细则的各项条件，经各教学院学位评定分委员会推荐，均可向学校学位评定委员会申请授予学士学位。</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第二条</w:t>
      </w:r>
      <w:r>
        <w:rPr>
          <w:rFonts w:hint="eastAsia" w:ascii="仿宋_GB2312" w:hAnsi="仿宋" w:eastAsia="仿宋_GB2312" w:cs="仿宋_GB2312"/>
          <w:kern w:val="2"/>
          <w:sz w:val="30"/>
          <w:szCs w:val="30"/>
          <w:lang w:val="en-US" w:eastAsia="zh-CN" w:bidi="ar"/>
        </w:rPr>
        <w:t xml:space="preserve">  凡具备下列条件者，可授予学士学位：</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(一)拥护中国共产党的领导，热爱社会主义祖国，遵纪守法，品行端正。</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(二)完成培养方案所规定的各类课程和各个教学环节的学习，成绩合格，经审核准予毕业。</w:t>
      </w:r>
    </w:p>
    <w:p>
      <w:pPr>
        <w:keepNext w:val="0"/>
        <w:keepLines w:val="0"/>
        <w:widowControl w:val="0"/>
        <w:suppressLineNumbers w:val="0"/>
        <w:spacing w:before="0" w:beforeAutospacing="0" w:after="0" w:afterAutospacing="0" w:line="560" w:lineRule="exact"/>
        <w:ind w:left="0" w:right="0" w:firstLine="450" w:firstLineChars="15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 xml:space="preserve">（三）较好地掌握本门学科的基础理论、专门知识和基本技能，具有从事本专业专门技术工作和科学研究的初步能力。 </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第三条</w:t>
      </w:r>
      <w:r>
        <w:rPr>
          <w:rFonts w:hint="eastAsia" w:ascii="仿宋_GB2312" w:hAnsi="仿宋" w:eastAsia="仿宋_GB2312" w:cs="仿宋_GB2312"/>
          <w:kern w:val="2"/>
          <w:sz w:val="30"/>
          <w:szCs w:val="30"/>
          <w:lang w:val="en-US" w:eastAsia="zh-CN" w:bidi="ar"/>
        </w:rPr>
        <w:t xml:space="preserve">  有下列情况之一者，不授予学士学位：</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(一)未获得毕业资格的；</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(二）在校学习期间，累积六门专业核心课程(以培养方案中确定的专业核心课程为准)首次考核不及格的；</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(三)在校学习期间，因违反校规校纪或其它原因受记过以上(含记过)处分</w:t>
      </w:r>
      <w:r>
        <w:rPr>
          <w:rFonts w:hint="eastAsia" w:ascii="仿宋_GB2312" w:hAnsi="仿宋" w:eastAsia="仿宋_GB2312" w:cs="仿宋_GB2312"/>
          <w:iCs/>
          <w:kern w:val="2"/>
          <w:sz w:val="30"/>
          <w:szCs w:val="30"/>
          <w:lang w:val="en-US" w:eastAsia="zh-CN" w:bidi="ar"/>
        </w:rPr>
        <w:t>尚未解除的；</w:t>
      </w:r>
    </w:p>
    <w:p>
      <w:pPr>
        <w:keepNext w:val="0"/>
        <w:keepLines w:val="0"/>
        <w:widowControl w:val="0"/>
        <w:suppressLineNumbers w:val="0"/>
        <w:spacing w:before="0" w:beforeAutospacing="0" w:after="0" w:afterAutospacing="0" w:line="560" w:lineRule="exact"/>
        <w:ind w:left="0" w:right="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 xml:space="preserve">   （四）因违反学术诚信受到处分的。</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_GB2312" w:hAnsi="仿宋" w:eastAsia="仿宋_GB2312" w:cs="宋体"/>
          <w:iCs/>
          <w:sz w:val="30"/>
          <w:szCs w:val="30"/>
          <w:lang w:val="en-US"/>
        </w:rPr>
      </w:pPr>
      <w:r>
        <w:rPr>
          <w:rFonts w:hint="eastAsia" w:ascii="仿宋_GB2312" w:hAnsi="仿宋" w:eastAsia="仿宋_GB2312" w:cs="仿宋_GB2312"/>
          <w:b/>
          <w:bCs w:val="0"/>
          <w:kern w:val="2"/>
          <w:sz w:val="30"/>
          <w:szCs w:val="30"/>
          <w:lang w:val="en-US" w:eastAsia="zh-CN" w:bidi="ar"/>
        </w:rPr>
        <w:t xml:space="preserve">第四条 </w:t>
      </w:r>
      <w:r>
        <w:rPr>
          <w:rFonts w:hint="eastAsia" w:ascii="仿宋_GB2312" w:hAnsi="仿宋" w:eastAsia="仿宋_GB2312" w:cs="仿宋_GB2312"/>
          <w:kern w:val="2"/>
          <w:sz w:val="30"/>
          <w:szCs w:val="30"/>
          <w:lang w:val="en-US" w:eastAsia="zh-CN" w:bidi="ar"/>
        </w:rPr>
        <w:t xml:space="preserve"> 未获得毕业资格者</w:t>
      </w:r>
      <w:r>
        <w:rPr>
          <w:rFonts w:hint="eastAsia" w:ascii="仿宋_GB2312" w:hAnsi="仿宋" w:eastAsia="仿宋_GB2312" w:cs="仿宋_GB2312"/>
          <w:iCs/>
          <w:kern w:val="2"/>
          <w:sz w:val="30"/>
          <w:szCs w:val="30"/>
          <w:lang w:val="en-US" w:eastAsia="zh-CN" w:bidi="ar"/>
        </w:rPr>
        <w:t>，在结业后一年内，按规定修完课程并达到规定标准，获得毕业资格并达到学士学位授予资格</w:t>
      </w:r>
      <w:r>
        <w:rPr>
          <w:rFonts w:hint="eastAsia" w:ascii="仿宋_GB2312" w:hAnsi="仿宋" w:eastAsia="仿宋_GB2312" w:cs="仿宋_GB2312"/>
          <w:iCs/>
          <w:spacing w:val="-6"/>
          <w:kern w:val="2"/>
          <w:sz w:val="30"/>
          <w:szCs w:val="30"/>
          <w:lang w:val="en-US" w:eastAsia="zh-CN" w:bidi="ar"/>
        </w:rPr>
        <w:t>的，可申请补授学位。</w:t>
      </w:r>
      <w:r>
        <w:rPr>
          <w:rFonts w:hint="eastAsia" w:ascii="仿宋_GB2312" w:hAnsi="仿宋" w:eastAsia="仿宋_GB2312" w:cs="宋体"/>
          <w:spacing w:val="-6"/>
          <w:kern w:val="2"/>
          <w:sz w:val="30"/>
          <w:szCs w:val="30"/>
          <w:lang w:val="en-US" w:eastAsia="zh-CN" w:bidi="ar"/>
        </w:rPr>
        <w:t>补授的学位证书，授予时间按发证日期填写</w:t>
      </w:r>
      <w:r>
        <w:rPr>
          <w:rFonts w:hint="eastAsia" w:ascii="仿宋_GB2312" w:hAnsi="仿宋" w:eastAsia="仿宋_GB2312" w:cs="宋体"/>
          <w:kern w:val="2"/>
          <w:sz w:val="30"/>
          <w:szCs w:val="30"/>
          <w:lang w:val="en-US" w:eastAsia="zh-CN" w:bidi="ar"/>
        </w:rPr>
        <w:t>。</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第五条 </w:t>
      </w:r>
      <w:r>
        <w:rPr>
          <w:rFonts w:hint="eastAsia" w:ascii="仿宋_GB2312" w:hAnsi="仿宋" w:eastAsia="仿宋_GB2312" w:cs="仿宋_GB2312"/>
          <w:kern w:val="2"/>
          <w:sz w:val="30"/>
          <w:szCs w:val="30"/>
          <w:lang w:val="en-US" w:eastAsia="zh-CN" w:bidi="ar"/>
        </w:rPr>
        <w:t>累积六门专业核心课程首次考核不及格者</w:t>
      </w:r>
      <w:r>
        <w:rPr>
          <w:rFonts w:hint="eastAsia" w:ascii="仿宋_GB2312" w:hAnsi="仿宋" w:eastAsia="仿宋_GB2312" w:cs="仿宋_GB2312"/>
          <w:iCs/>
          <w:kern w:val="2"/>
          <w:sz w:val="30"/>
          <w:szCs w:val="30"/>
          <w:lang w:val="en-US" w:eastAsia="zh-CN" w:bidi="ar"/>
        </w:rPr>
        <w:t>，凡具备以下条件的在籍学生，</w:t>
      </w:r>
      <w:r>
        <w:rPr>
          <w:rFonts w:hint="eastAsia" w:ascii="仿宋_GB2312" w:hAnsi="仿宋" w:eastAsia="仿宋_GB2312" w:cs="宋体"/>
          <w:spacing w:val="-6"/>
          <w:kern w:val="2"/>
          <w:sz w:val="30"/>
          <w:szCs w:val="30"/>
          <w:lang w:val="en-US" w:eastAsia="zh-CN" w:bidi="ar"/>
        </w:rPr>
        <w:t>在最长学习年限内,</w:t>
      </w:r>
      <w:r>
        <w:rPr>
          <w:rFonts w:hint="eastAsia" w:ascii="仿宋_GB2312" w:hAnsi="仿宋" w:eastAsia="仿宋_GB2312" w:cs="仿宋_GB2312"/>
          <w:iCs/>
          <w:kern w:val="2"/>
          <w:sz w:val="30"/>
          <w:szCs w:val="30"/>
          <w:lang w:val="en-US" w:eastAsia="zh-CN" w:bidi="ar"/>
        </w:rPr>
        <w:t>经本人申请，各教学院学位评定分委员会审核推荐，学校学位评定委员会</w:t>
      </w:r>
      <w:r>
        <w:rPr>
          <w:rFonts w:hint="eastAsia" w:ascii="仿宋_GB2312" w:hAnsi="仿宋" w:eastAsia="仿宋_GB2312" w:cs="仿宋_GB2312"/>
          <w:kern w:val="2"/>
          <w:sz w:val="30"/>
          <w:szCs w:val="30"/>
          <w:lang w:val="en-US" w:eastAsia="zh-CN" w:bidi="ar"/>
        </w:rPr>
        <w:t>审议并</w:t>
      </w:r>
      <w:r>
        <w:rPr>
          <w:rFonts w:hint="eastAsia" w:ascii="仿宋_GB2312" w:hAnsi="仿宋" w:eastAsia="仿宋_GB2312" w:cs="仿宋_GB2312"/>
          <w:iCs/>
          <w:kern w:val="2"/>
          <w:sz w:val="30"/>
          <w:szCs w:val="30"/>
          <w:lang w:val="en-US" w:eastAsia="zh-CN" w:bidi="ar"/>
        </w:rPr>
        <w:t>通过后，可授予学士学位。</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（一）考取国内全日制硕士研究生（含专业学位硕士）或公务员。</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（二）参加国家统一组织考试并获得认可的专业技术人员职业资格证书（具体名称见国家职业资格目录清单）。</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（三）服役期间，荣获部队二等功以上的。</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（四）入选全国或省内基层就业项目者（如选调高校毕业生到基层培养锻炼、大学生志愿者服务西部计划、大学生村官、“三支一扶”计划等）。</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第六条  </w:t>
      </w:r>
      <w:r>
        <w:rPr>
          <w:rFonts w:hint="eastAsia" w:ascii="仿宋_GB2312" w:hAnsi="仿宋" w:eastAsia="仿宋_GB2312" w:cs="仿宋_GB2312"/>
          <w:kern w:val="2"/>
          <w:sz w:val="30"/>
          <w:szCs w:val="30"/>
          <w:lang w:val="en-US" w:eastAsia="zh-CN" w:bidi="ar"/>
        </w:rPr>
        <w:t>违反校规校纪或其它原因受记过以上(含记过)处分</w:t>
      </w:r>
      <w:r>
        <w:rPr>
          <w:rFonts w:hint="eastAsia" w:ascii="仿宋_GB2312" w:hAnsi="仿宋" w:eastAsia="仿宋_GB2312" w:cs="仿宋_GB2312"/>
          <w:iCs/>
          <w:kern w:val="2"/>
          <w:sz w:val="30"/>
          <w:szCs w:val="30"/>
          <w:lang w:val="en-US" w:eastAsia="zh-CN" w:bidi="ar"/>
        </w:rPr>
        <w:t>尚未解除的，在处分期内对错误有深刻认识，且表现优秀的，处分期满后，按照学校关于解除学生纪律处分的相关规定解除处分后，可以申请学士学位。</w:t>
      </w:r>
    </w:p>
    <w:p>
      <w:pPr>
        <w:keepNext w:val="0"/>
        <w:keepLines w:val="0"/>
        <w:widowControl w:val="0"/>
        <w:suppressLineNumbers w:val="0"/>
        <w:spacing w:before="0" w:beforeAutospacing="0" w:after="0" w:afterAutospacing="0" w:line="560" w:lineRule="exact"/>
        <w:ind w:left="0" w:right="0" w:firstLine="3611" w:firstLineChars="1199"/>
        <w:jc w:val="both"/>
        <w:rPr>
          <w:rFonts w:hint="eastAsia" w:ascii="宋体" w:hAnsi="Calibri" w:eastAsia="宋体" w:cs="宋体"/>
          <w:b/>
          <w:bCs w:val="0"/>
          <w:sz w:val="30"/>
          <w:szCs w:val="30"/>
          <w:lang w:val="en-US"/>
        </w:rPr>
      </w:pPr>
      <w:r>
        <w:rPr>
          <w:rFonts w:hint="eastAsia" w:ascii="宋体" w:hAnsi="宋体" w:eastAsia="宋体" w:cs="宋体"/>
          <w:b/>
          <w:bCs w:val="0"/>
          <w:kern w:val="2"/>
          <w:sz w:val="30"/>
          <w:szCs w:val="30"/>
          <w:lang w:val="en-US" w:eastAsia="zh-CN" w:bidi="ar"/>
        </w:rPr>
        <w:t>审核程序</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 w:eastAsia="仿宋_GB2312" w:cs="仿宋_GB2312"/>
          <w:strike/>
          <w:dstrike w:val="0"/>
          <w:sz w:val="30"/>
          <w:szCs w:val="30"/>
          <w:lang w:val="en-US"/>
        </w:rPr>
      </w:pPr>
      <w:r>
        <w:rPr>
          <w:rFonts w:hint="eastAsia" w:ascii="仿宋_GB2312" w:hAnsi="仿宋" w:eastAsia="仿宋_GB2312" w:cs="仿宋_GB2312"/>
          <w:b/>
          <w:kern w:val="2"/>
          <w:sz w:val="30"/>
          <w:szCs w:val="30"/>
          <w:lang w:val="en-US" w:eastAsia="zh-CN" w:bidi="ar"/>
        </w:rPr>
        <w:t xml:space="preserve">第七条 </w:t>
      </w:r>
      <w:r>
        <w:rPr>
          <w:rFonts w:hint="eastAsia" w:ascii="仿宋_GB2312" w:hAnsi="仿宋" w:eastAsia="仿宋_GB2312" w:cs="仿宋_GB2312"/>
          <w:kern w:val="2"/>
          <w:sz w:val="30"/>
          <w:szCs w:val="30"/>
          <w:lang w:val="en-US" w:eastAsia="zh-CN" w:bidi="ar"/>
        </w:rPr>
        <w:t>各教学院</w:t>
      </w:r>
      <w:r>
        <w:rPr>
          <w:rFonts w:hint="eastAsia" w:ascii="仿宋_GB2312" w:hAnsi="仿宋" w:eastAsia="仿宋_GB2312" w:cs="仿宋_GB2312"/>
          <w:iCs/>
          <w:kern w:val="2"/>
          <w:sz w:val="30"/>
          <w:szCs w:val="30"/>
          <w:lang w:val="en-US" w:eastAsia="zh-CN" w:bidi="ar"/>
        </w:rPr>
        <w:t>根据人才培养方案的要求，按照学士学位授予的条件，逐个审查本科毕业生的学习成绩和其他鉴定材料，提出拟授予学士学位的毕业生名单，经各教学院学位评定分委员会审核，将评审意见和有关材料报教务处。教务处核查材料后，提交学校学位评定委员会审议。</w:t>
      </w:r>
    </w:p>
    <w:p>
      <w:pPr>
        <w:keepNext w:val="0"/>
        <w:keepLines w:val="0"/>
        <w:widowControl w:val="0"/>
        <w:suppressLineNumbers w:val="0"/>
        <w:spacing w:before="0" w:beforeAutospacing="0" w:after="0" w:afterAutospacing="0" w:line="560" w:lineRule="exact"/>
        <w:ind w:left="0" w:right="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    第八条</w:t>
      </w:r>
      <w:r>
        <w:rPr>
          <w:rFonts w:hint="eastAsia" w:ascii="仿宋_GB2312" w:hAnsi="仿宋" w:eastAsia="仿宋_GB2312" w:cs="仿宋_GB2312"/>
          <w:kern w:val="2"/>
          <w:sz w:val="30"/>
          <w:szCs w:val="30"/>
          <w:lang w:val="en-US" w:eastAsia="zh-CN" w:bidi="ar"/>
        </w:rPr>
        <w:t xml:space="preserve"> 经学校学位评定委员会审定并通过，组织颁发学士学位证书，并将授予结果报上级学位工作主管部门。</w:t>
      </w:r>
    </w:p>
    <w:p>
      <w:pPr>
        <w:keepNext w:val="0"/>
        <w:keepLines w:val="0"/>
        <w:widowControl w:val="0"/>
        <w:suppressLineNumbers w:val="0"/>
        <w:spacing w:before="0" w:beforeAutospacing="0" w:after="0" w:afterAutospacing="0" w:line="560" w:lineRule="exact"/>
        <w:ind w:left="0" w:right="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 xml:space="preserve">    第九条</w:t>
      </w:r>
      <w:r>
        <w:rPr>
          <w:rFonts w:hint="eastAsia" w:ascii="仿宋_GB2312" w:hAnsi="仿宋" w:eastAsia="仿宋_GB2312" w:cs="仿宋_GB2312"/>
          <w:kern w:val="2"/>
          <w:sz w:val="30"/>
          <w:szCs w:val="30"/>
          <w:lang w:val="en-US" w:eastAsia="zh-CN" w:bidi="ar"/>
        </w:rPr>
        <w:t xml:space="preserve">  本科毕业生授予学士学位后，若发现有违反学位条例规定的情况，各教学院学位评定分委员会应予复议，并报请学校学位评定委员会审批，作出是否撤销其学位的决定。</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iCs/>
          <w:kern w:val="2"/>
          <w:sz w:val="30"/>
          <w:szCs w:val="30"/>
          <w:lang w:val="en-US" w:eastAsia="zh-CN" w:bidi="ar"/>
        </w:rPr>
        <w:t xml:space="preserve">第十条 </w:t>
      </w:r>
      <w:r>
        <w:rPr>
          <w:rFonts w:hint="eastAsia" w:ascii="仿宋_GB2312" w:hAnsi="仿宋" w:eastAsia="仿宋_GB2312" w:cs="仿宋_GB2312"/>
          <w:iCs/>
          <w:kern w:val="2"/>
          <w:sz w:val="30"/>
          <w:szCs w:val="30"/>
          <w:lang w:val="en-US" w:eastAsia="zh-CN" w:bidi="ar"/>
        </w:rPr>
        <w:t>申请补授学士学位者，于每年4月初或10月初由本人提出申请，并填写《宜春学院补授学士学位申请表》，经各教学院学位评定分委员会审查，校团委、教务处、学工处复核后，报学校学位评定委员会审议。</w:t>
      </w:r>
    </w:p>
    <w:p>
      <w:pPr>
        <w:keepNext w:val="0"/>
        <w:keepLines w:val="0"/>
        <w:widowControl w:val="0"/>
        <w:suppressLineNumbers w:val="0"/>
        <w:spacing w:before="0" w:beforeAutospacing="0" w:after="0" w:afterAutospacing="0" w:line="560" w:lineRule="exact"/>
        <w:ind w:left="0" w:right="0" w:firstLine="3611" w:firstLineChars="1199"/>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其　　它</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kern w:val="2"/>
          <w:sz w:val="30"/>
          <w:szCs w:val="30"/>
          <w:lang w:val="en-US" w:eastAsia="zh-CN" w:bidi="ar"/>
        </w:rPr>
        <w:t xml:space="preserve">第十一条 </w:t>
      </w:r>
      <w:r>
        <w:rPr>
          <w:rFonts w:hint="eastAsia" w:ascii="仿宋_GB2312" w:hAnsi="仿宋" w:eastAsia="仿宋_GB2312" w:cs="仿宋_GB2312"/>
          <w:kern w:val="2"/>
          <w:sz w:val="30"/>
          <w:szCs w:val="30"/>
          <w:lang w:val="en-US" w:eastAsia="zh-CN" w:bidi="ar"/>
        </w:rPr>
        <w:t>学生对于校学位评定委员会授予学位的决议如有异议，可于校学位评定委员会会议作出决定后10个工作日内，以书面形式向校学位评定委员会办公室申请复核。学位评定委员会办公室在接到复核申请的30个工作日内，提请学校学位评定委员会作出复核决定，并以书面形式告知复核申请人。在学校复核期内未提出复核申请的，学校不再另行受理。</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b/>
          <w:bCs w:val="0"/>
          <w:kern w:val="2"/>
          <w:sz w:val="30"/>
          <w:szCs w:val="30"/>
          <w:lang w:val="en-US" w:eastAsia="zh-CN" w:bidi="ar"/>
        </w:rPr>
        <w:t>第十二条</w:t>
      </w:r>
      <w:r>
        <w:rPr>
          <w:rFonts w:hint="eastAsia" w:ascii="仿宋_GB2312" w:hAnsi="仿宋" w:eastAsia="仿宋_GB2312" w:cs="仿宋_GB2312"/>
          <w:kern w:val="2"/>
          <w:sz w:val="30"/>
          <w:szCs w:val="30"/>
          <w:lang w:val="en-US" w:eastAsia="zh-CN" w:bidi="ar"/>
        </w:rPr>
        <w:t xml:space="preserve">  本细则经2020年12月29日校长办公会审议通过,自颁布之日起实施。之前已颁布的《宜春学院普通本科毕业生学士学位授予工作实施细则》（〔2017〕140号）同时废止。</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_GB2312" w:hAnsi="仿宋" w:eastAsia="仿宋_GB2312" w:cs="仿宋_GB2312"/>
          <w:spacing w:val="-10"/>
          <w:sz w:val="30"/>
          <w:szCs w:val="30"/>
          <w:lang w:val="en-US"/>
        </w:rPr>
      </w:pPr>
      <w:r>
        <w:rPr>
          <w:rFonts w:hint="eastAsia" w:ascii="仿宋_GB2312" w:hAnsi="仿宋" w:eastAsia="仿宋_GB2312" w:cs="仿宋_GB2312"/>
          <w:b/>
          <w:bCs w:val="0"/>
          <w:spacing w:val="-10"/>
          <w:kern w:val="2"/>
          <w:sz w:val="30"/>
          <w:szCs w:val="30"/>
          <w:lang w:val="en-US" w:eastAsia="zh-CN" w:bidi="ar"/>
        </w:rPr>
        <w:t>第十三条</w:t>
      </w:r>
      <w:r>
        <w:rPr>
          <w:rFonts w:hint="eastAsia" w:ascii="仿宋_GB2312" w:hAnsi="仿宋" w:eastAsia="仿宋_GB2312" w:cs="仿宋_GB2312"/>
          <w:spacing w:val="-10"/>
          <w:kern w:val="2"/>
          <w:sz w:val="30"/>
          <w:szCs w:val="30"/>
          <w:lang w:val="en-US" w:eastAsia="zh-CN" w:bidi="ar"/>
        </w:rPr>
        <w:t xml:space="preserve">  本细则解释权属学校学位评定委员会办公室（学士）。</w:t>
      </w:r>
    </w:p>
    <w:p>
      <w:pPr>
        <w:pStyle w:val="3"/>
        <w:widowControl/>
        <w:spacing w:before="0" w:beforeAutospacing="0" w:after="0" w:afterAutospacing="0"/>
        <w:ind w:left="0" w:right="0"/>
        <w:jc w:val="center"/>
        <w:rPr>
          <w:rFonts w:hint="eastAsia" w:ascii="宋体" w:hAnsi="宋体" w:eastAsia="宋体" w:cs="宋体"/>
          <w:bCs w:val="0"/>
          <w:sz w:val="44"/>
          <w:szCs w:val="44"/>
          <w:lang w:val="en-US"/>
        </w:rPr>
      </w:pPr>
      <w:r>
        <w:rPr>
          <w:rFonts w:hint="eastAsia" w:ascii="仿宋_GB2312" w:hAnsi="仿宋" w:eastAsia="仿宋_GB2312" w:cs="Times New Roman"/>
          <w:b/>
          <w:spacing w:val="-10"/>
          <w:kern w:val="2"/>
          <w:sz w:val="30"/>
          <w:szCs w:val="30"/>
          <w:lang w:val="en-US" w:eastAsia="zh-CN" w:bidi="ar"/>
        </w:rPr>
        <w:br w:type="page"/>
      </w:r>
      <w:bookmarkStart w:id="5" w:name="_Toc525287548"/>
      <w:bookmarkStart w:id="6" w:name="_Toc525899182"/>
      <w:r>
        <w:rPr>
          <w:rFonts w:hint="eastAsia" w:ascii="宋体" w:hAnsi="宋体" w:eastAsia="宋体" w:cs="宋体"/>
          <w:bCs w:val="0"/>
          <w:sz w:val="44"/>
          <w:szCs w:val="44"/>
          <w:lang w:eastAsia="zh-CN"/>
        </w:rPr>
        <w:t>宜春学院教学管理先进个人评选办法</w:t>
      </w:r>
      <w:bookmarkEnd w:id="5"/>
      <w:bookmarkEnd w:id="6"/>
    </w:p>
    <w:p>
      <w:pPr>
        <w:keepNext w:val="0"/>
        <w:keepLines w:val="0"/>
        <w:widowControl w:val="0"/>
        <w:suppressLineNumbers w:val="0"/>
        <w:spacing w:before="0" w:beforeAutospacing="0" w:after="0" w:afterAutospacing="0" w:line="520" w:lineRule="exact"/>
        <w:ind w:left="0" w:right="0" w:firstLine="600" w:firstLineChars="200"/>
        <w:jc w:val="center"/>
        <w:rPr>
          <w:rFonts w:hint="eastAsia" w:ascii="黑体" w:hAnsi="Calibri" w:eastAsia="黑体" w:cs="黑体"/>
          <w:sz w:val="30"/>
          <w:szCs w:val="30"/>
          <w:lang w:val="en-US"/>
        </w:rPr>
      </w:pPr>
    </w:p>
    <w:p>
      <w:pPr>
        <w:keepNext w:val="0"/>
        <w:keepLines w:val="0"/>
        <w:widowControl w:val="0"/>
        <w:suppressLineNumbers w:val="0"/>
        <w:spacing w:before="0" w:beforeAutospacing="0" w:after="0" w:afterAutospacing="0" w:line="500" w:lineRule="exact"/>
        <w:ind w:left="0" w:right="0" w:firstLine="600" w:firstLineChars="200"/>
        <w:jc w:val="center"/>
        <w:rPr>
          <w:rFonts w:hint="eastAsia" w:ascii="黑体" w:hAnsi="Calibri" w:eastAsia="黑体" w:cs="黑体"/>
          <w:sz w:val="30"/>
          <w:szCs w:val="30"/>
          <w:lang w:val="en-US"/>
        </w:rPr>
      </w:pPr>
      <w:r>
        <w:rPr>
          <w:rFonts w:hint="eastAsia" w:ascii="黑体" w:hAnsi="Calibri" w:eastAsia="黑体" w:cs="黑体"/>
          <w:kern w:val="2"/>
          <w:sz w:val="30"/>
          <w:szCs w:val="30"/>
          <w:lang w:val="en-US" w:eastAsia="zh-CN" w:bidi="ar"/>
        </w:rPr>
        <w:t>第一章    总则</w:t>
      </w:r>
    </w:p>
    <w:p>
      <w:pPr>
        <w:keepNext w:val="0"/>
        <w:keepLines w:val="0"/>
        <w:widowControl w:val="0"/>
        <w:suppressLineNumbers w:val="0"/>
        <w:spacing w:before="0" w:beforeAutospacing="0" w:after="0" w:afterAutospacing="0" w:line="500" w:lineRule="exact"/>
        <w:ind w:left="0" w:right="0" w:firstLine="602" w:firstLineChars="200"/>
        <w:jc w:val="both"/>
        <w:rPr>
          <w:rFonts w:hint="eastAsia" w:ascii="仿宋_GB2312" w:eastAsia="仿宋_GB2312" w:cs="仿宋_GB2312"/>
          <w:sz w:val="30"/>
          <w:szCs w:val="30"/>
          <w:lang w:val="en-US"/>
        </w:rPr>
      </w:pPr>
      <w:r>
        <w:rPr>
          <w:rFonts w:hint="eastAsia" w:ascii="仿宋_GB2312" w:hAnsi="Calibri" w:eastAsia="仿宋_GB2312" w:cs="仿宋_GB2312"/>
          <w:b/>
          <w:bCs w:val="0"/>
          <w:kern w:val="2"/>
          <w:sz w:val="30"/>
          <w:szCs w:val="30"/>
          <w:lang w:val="en-US" w:eastAsia="zh-CN" w:bidi="ar"/>
        </w:rPr>
        <w:t>第一条</w:t>
      </w:r>
      <w:r>
        <w:rPr>
          <w:rFonts w:hint="eastAsia" w:ascii="黑体" w:hAnsi="Calibri" w:eastAsia="黑体" w:cs="黑体"/>
          <w:b/>
          <w:bCs w:val="0"/>
          <w:kern w:val="2"/>
          <w:sz w:val="30"/>
          <w:szCs w:val="30"/>
          <w:lang w:val="en-US" w:eastAsia="zh-CN" w:bidi="ar"/>
        </w:rPr>
        <w:t xml:space="preserve">   </w:t>
      </w:r>
      <w:r>
        <w:rPr>
          <w:rFonts w:hint="eastAsia" w:ascii="仿宋_GB2312" w:hAnsi="Calibri" w:eastAsia="仿宋_GB2312" w:cs="仿宋_GB2312"/>
          <w:kern w:val="2"/>
          <w:sz w:val="30"/>
          <w:szCs w:val="30"/>
          <w:lang w:val="en-US" w:eastAsia="zh-CN" w:bidi="ar"/>
        </w:rPr>
        <w:t>为进一步激发我校教学管理人员工作积极性，不断提高我校教学质量和教学管理水平，推动我校教育教学工作再上新台阶，特制定本办法。</w:t>
      </w:r>
    </w:p>
    <w:p>
      <w:pPr>
        <w:keepNext w:val="0"/>
        <w:keepLines w:val="0"/>
        <w:widowControl w:val="0"/>
        <w:suppressLineNumbers w:val="0"/>
        <w:spacing w:before="0" w:beforeAutospacing="0" w:after="0" w:afterAutospacing="0" w:line="500" w:lineRule="exact"/>
        <w:ind w:left="0" w:right="0" w:firstLine="600" w:firstLineChars="200"/>
        <w:jc w:val="center"/>
        <w:rPr>
          <w:rFonts w:hint="eastAsia" w:ascii="黑体" w:hAnsi="Calibri" w:eastAsia="黑体" w:cs="黑体"/>
          <w:sz w:val="30"/>
          <w:szCs w:val="30"/>
          <w:lang w:val="en-US"/>
        </w:rPr>
      </w:pPr>
      <w:r>
        <w:rPr>
          <w:rFonts w:hint="eastAsia" w:ascii="黑体" w:hAnsi="Calibri" w:eastAsia="黑体" w:cs="黑体"/>
          <w:kern w:val="2"/>
          <w:sz w:val="30"/>
          <w:szCs w:val="30"/>
          <w:lang w:val="en-US" w:eastAsia="zh-CN" w:bidi="ar"/>
        </w:rPr>
        <w:t>第二章    评选范围</w:t>
      </w:r>
    </w:p>
    <w:p>
      <w:pPr>
        <w:keepNext w:val="0"/>
        <w:keepLines w:val="0"/>
        <w:widowControl w:val="0"/>
        <w:suppressLineNumbers w:val="0"/>
        <w:spacing w:before="0" w:beforeAutospacing="0" w:after="0" w:afterAutospacing="0" w:line="500" w:lineRule="exact"/>
        <w:ind w:left="0" w:right="0" w:firstLine="602" w:firstLineChars="200"/>
        <w:jc w:val="both"/>
        <w:rPr>
          <w:sz w:val="30"/>
          <w:szCs w:val="30"/>
          <w:lang w:val="en-US"/>
        </w:rPr>
      </w:pPr>
      <w:r>
        <w:rPr>
          <w:rFonts w:hint="eastAsia" w:ascii="仿宋_GB2312" w:hAnsi="Calibri" w:eastAsia="仿宋_GB2312" w:cs="仿宋_GB2312"/>
          <w:b/>
          <w:bCs w:val="0"/>
          <w:kern w:val="2"/>
          <w:sz w:val="30"/>
          <w:szCs w:val="30"/>
          <w:lang w:val="en-US" w:eastAsia="zh-CN" w:bidi="ar"/>
        </w:rPr>
        <w:t xml:space="preserve">第二条 </w:t>
      </w:r>
      <w:r>
        <w:rPr>
          <w:rFonts w:hint="default" w:ascii="Calibri" w:hAnsi="Calibri" w:eastAsia="宋体" w:cs="Times New Roman"/>
          <w:kern w:val="2"/>
          <w:sz w:val="30"/>
          <w:szCs w:val="30"/>
          <w:lang w:val="en-US" w:eastAsia="zh-CN" w:bidi="ar"/>
        </w:rPr>
        <w:t xml:space="preserve">  </w:t>
      </w:r>
      <w:r>
        <w:rPr>
          <w:rFonts w:hint="eastAsia" w:ascii="仿宋_GB2312" w:hAnsi="Calibri" w:eastAsia="仿宋_GB2312" w:cs="仿宋_GB2312"/>
          <w:kern w:val="2"/>
          <w:sz w:val="30"/>
          <w:szCs w:val="30"/>
          <w:lang w:val="en-US" w:eastAsia="zh-CN" w:bidi="ar"/>
        </w:rPr>
        <w:t>各教学院教学管理人员、学校教学管理部门和教学辅助部门相关工作人员</w:t>
      </w:r>
      <w:r>
        <w:rPr>
          <w:rFonts w:hint="eastAsia" w:ascii="Calibri" w:hAnsi="Calibri" w:eastAsia="宋体" w:cs="宋体"/>
          <w:kern w:val="2"/>
          <w:sz w:val="30"/>
          <w:szCs w:val="30"/>
          <w:lang w:val="en-US" w:eastAsia="zh-CN" w:bidi="ar"/>
        </w:rPr>
        <w:t>。</w:t>
      </w:r>
    </w:p>
    <w:p>
      <w:pPr>
        <w:keepNext w:val="0"/>
        <w:keepLines w:val="0"/>
        <w:widowControl w:val="0"/>
        <w:suppressLineNumbers w:val="0"/>
        <w:spacing w:before="0" w:beforeAutospacing="0" w:after="0" w:afterAutospacing="0" w:line="500" w:lineRule="exact"/>
        <w:ind w:left="0" w:right="0" w:firstLine="600" w:firstLineChars="200"/>
        <w:jc w:val="center"/>
        <w:rPr>
          <w:rFonts w:hint="eastAsia" w:ascii="黑体" w:hAnsi="Calibri" w:eastAsia="黑体" w:cs="黑体"/>
          <w:sz w:val="30"/>
          <w:szCs w:val="30"/>
          <w:lang w:val="en-US"/>
        </w:rPr>
      </w:pPr>
      <w:r>
        <w:rPr>
          <w:rFonts w:hint="eastAsia" w:ascii="黑体" w:hAnsi="Calibri" w:eastAsia="黑体" w:cs="黑体"/>
          <w:kern w:val="2"/>
          <w:sz w:val="30"/>
          <w:szCs w:val="30"/>
          <w:lang w:val="en-US" w:eastAsia="zh-CN" w:bidi="ar"/>
        </w:rPr>
        <w:t>第三章    评选条件</w:t>
      </w:r>
    </w:p>
    <w:p>
      <w:pPr>
        <w:keepNext w:val="0"/>
        <w:keepLines w:val="0"/>
        <w:widowControl w:val="0"/>
        <w:suppressLineNumbers w:val="0"/>
        <w:spacing w:before="0" w:beforeAutospacing="0" w:after="0" w:afterAutospacing="0" w:line="500" w:lineRule="exact"/>
        <w:ind w:left="0" w:right="0" w:firstLine="602" w:firstLineChars="200"/>
        <w:jc w:val="both"/>
        <w:rPr>
          <w:rFonts w:hint="eastAsia" w:ascii="仿宋_GB2312" w:eastAsia="仿宋_GB2312" w:cs="仿宋_GB2312"/>
          <w:sz w:val="30"/>
          <w:szCs w:val="30"/>
          <w:lang w:val="en-US"/>
        </w:rPr>
      </w:pPr>
      <w:r>
        <w:rPr>
          <w:rFonts w:hint="eastAsia" w:ascii="仿宋_GB2312" w:hAnsi="Calibri" w:eastAsia="仿宋_GB2312" w:cs="仿宋_GB2312"/>
          <w:b/>
          <w:bCs w:val="0"/>
          <w:kern w:val="2"/>
          <w:sz w:val="30"/>
          <w:szCs w:val="30"/>
          <w:lang w:val="en-US" w:eastAsia="zh-CN" w:bidi="ar"/>
        </w:rPr>
        <w:t xml:space="preserve">第三条 </w:t>
      </w:r>
      <w:r>
        <w:rPr>
          <w:rFonts w:hint="eastAsia" w:ascii="黑体" w:hAnsi="Calibri" w:eastAsia="黑体" w:cs="黑体"/>
          <w:b/>
          <w:bCs w:val="0"/>
          <w:kern w:val="2"/>
          <w:sz w:val="30"/>
          <w:szCs w:val="30"/>
          <w:lang w:val="en-US" w:eastAsia="zh-CN" w:bidi="ar"/>
        </w:rPr>
        <w:t xml:space="preserve">   </w:t>
      </w:r>
      <w:r>
        <w:rPr>
          <w:rFonts w:hint="eastAsia" w:ascii="仿宋_GB2312" w:hAnsi="Calibri" w:eastAsia="仿宋_GB2312" w:cs="仿宋_GB2312"/>
          <w:kern w:val="2"/>
          <w:sz w:val="30"/>
          <w:szCs w:val="30"/>
          <w:lang w:val="en-US" w:eastAsia="zh-CN" w:bidi="ar"/>
        </w:rPr>
        <w:t>基本条件</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教学管理工作先进个人应符合以下基本条件：</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1．政治立场坚定。认真贯彻党的教育方针，热爱教育事业，积极投身学校的教育教学改革工作，能够做到管理育人，服务育人，具有较强的责任心和协调能力。</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2．管理能力强。认真贯彻落实学校各项教学管理规章制度，熟练掌握现代化的教学管理手段，具有创新精神，能够独立解决教学管理工作中出现的问题。</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3．服务意识好。工作认真负责，周到细致，任劳任怨，能够积极主动地为广大师生服务，工作规范，效率高，质量意识强。</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4．工作态度优。工作认真负责，甘于奉献，廉洁自律，作风正派，能较好地配合教学管理职能部门的工作，按时参加有关教学方面的会议及活动，对学校和部门及教务处交办的工作处理及时、妥善。</w:t>
      </w:r>
    </w:p>
    <w:p>
      <w:pPr>
        <w:keepNext w:val="0"/>
        <w:keepLines w:val="0"/>
        <w:widowControl w:val="0"/>
        <w:suppressLineNumbers w:val="0"/>
        <w:spacing w:before="0" w:beforeAutospacing="0" w:after="0" w:afterAutospacing="0" w:line="500" w:lineRule="exact"/>
        <w:ind w:left="0" w:right="0" w:firstLine="602" w:firstLineChars="200"/>
        <w:jc w:val="both"/>
        <w:rPr>
          <w:rFonts w:hint="eastAsia" w:ascii="仿宋_GB2312" w:eastAsia="仿宋_GB2312" w:cs="仿宋_GB2312"/>
          <w:sz w:val="30"/>
          <w:szCs w:val="30"/>
          <w:lang w:val="en-US"/>
        </w:rPr>
      </w:pPr>
      <w:r>
        <w:rPr>
          <w:rFonts w:hint="eastAsia" w:ascii="仿宋_GB2312" w:hAnsi="Calibri" w:eastAsia="仿宋_GB2312" w:cs="仿宋_GB2312"/>
          <w:b/>
          <w:bCs w:val="0"/>
          <w:kern w:val="2"/>
          <w:sz w:val="30"/>
          <w:szCs w:val="30"/>
          <w:lang w:val="en-US" w:eastAsia="zh-CN" w:bidi="ar"/>
        </w:rPr>
        <w:t>第四条</w:t>
      </w:r>
      <w:r>
        <w:rPr>
          <w:rFonts w:hint="eastAsia" w:ascii="黑体" w:hAnsi="Calibri" w:eastAsia="黑体" w:cs="黑体"/>
          <w:b/>
          <w:bCs w:val="0"/>
          <w:kern w:val="2"/>
          <w:sz w:val="30"/>
          <w:szCs w:val="30"/>
          <w:lang w:val="en-US" w:eastAsia="zh-CN" w:bidi="ar"/>
        </w:rPr>
        <w:t xml:space="preserve"> </w:t>
      </w:r>
      <w:r>
        <w:rPr>
          <w:rFonts w:hint="default" w:ascii="Calibri" w:hAnsi="Calibri" w:eastAsia="宋体" w:cs="Times New Roman"/>
          <w:kern w:val="2"/>
          <w:sz w:val="30"/>
          <w:szCs w:val="30"/>
          <w:lang w:val="en-US" w:eastAsia="zh-CN" w:bidi="ar"/>
        </w:rPr>
        <w:t xml:space="preserve">   </w:t>
      </w:r>
      <w:r>
        <w:rPr>
          <w:rFonts w:hint="eastAsia" w:ascii="仿宋_GB2312" w:hAnsi="Calibri" w:eastAsia="仿宋_GB2312" w:cs="仿宋_GB2312"/>
          <w:kern w:val="2"/>
          <w:sz w:val="30"/>
          <w:szCs w:val="30"/>
          <w:lang w:val="en-US" w:eastAsia="zh-CN" w:bidi="ar"/>
        </w:rPr>
        <w:t>择优条件</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教学管理先进个人若具备下列条件之一，可在同等条件下优先评定：</w:t>
      </w:r>
      <w:r>
        <w:rPr>
          <w:rFonts w:hint="default" w:ascii="仿宋_GB2312" w:hAnsi="Calibri" w:eastAsia="仿宋_GB2312" w:cs="Times New Roman"/>
          <w:kern w:val="2"/>
          <w:sz w:val="30"/>
          <w:szCs w:val="30"/>
          <w:lang w:val="en-US" w:eastAsia="zh-CN" w:bidi="ar"/>
        </w:rPr>
        <w:t> </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1．注重教学改革与教学研究，主持立项教改项目，或课程建设等教学工程类项目，公开发表了教学改革、教学管理方面的文章；</w:t>
      </w:r>
      <w:r>
        <w:rPr>
          <w:rFonts w:hint="default" w:ascii="仿宋_GB2312" w:hAnsi="Calibri" w:eastAsia="仿宋_GB2312" w:cs="Times New Roman"/>
          <w:kern w:val="2"/>
          <w:sz w:val="30"/>
          <w:szCs w:val="30"/>
          <w:lang w:val="en-US" w:eastAsia="zh-CN" w:bidi="ar"/>
        </w:rPr>
        <w:t> </w:t>
      </w:r>
    </w:p>
    <w:p>
      <w:pPr>
        <w:keepNext w:val="0"/>
        <w:keepLines w:val="0"/>
        <w:widowControl w:val="0"/>
        <w:suppressLineNumbers w:val="0"/>
        <w:spacing w:before="0" w:beforeAutospacing="0" w:after="0" w:afterAutospacing="0" w:line="500" w:lineRule="exact"/>
        <w:ind w:left="0" w:right="0" w:firstLine="600" w:firstLineChars="200"/>
        <w:jc w:val="both"/>
        <w:rPr>
          <w:sz w:val="30"/>
          <w:szCs w:val="30"/>
          <w:lang w:val="en-US"/>
        </w:rPr>
      </w:pPr>
      <w:r>
        <w:rPr>
          <w:rFonts w:hint="eastAsia" w:ascii="仿宋_GB2312" w:hAnsi="Calibri" w:eastAsia="仿宋_GB2312" w:cs="仿宋_GB2312"/>
          <w:kern w:val="2"/>
          <w:sz w:val="30"/>
          <w:szCs w:val="30"/>
          <w:lang w:val="en-US" w:eastAsia="zh-CN" w:bidi="ar"/>
        </w:rPr>
        <w:t>2．在学校有关教学重点工作中表现突出者。</w:t>
      </w:r>
    </w:p>
    <w:p>
      <w:pPr>
        <w:keepNext w:val="0"/>
        <w:keepLines w:val="0"/>
        <w:widowControl w:val="0"/>
        <w:suppressLineNumbers w:val="0"/>
        <w:spacing w:before="0" w:beforeAutospacing="0" w:after="0" w:afterAutospacing="0" w:line="500" w:lineRule="exact"/>
        <w:ind w:left="0" w:right="0" w:firstLine="602" w:firstLineChars="200"/>
        <w:jc w:val="both"/>
        <w:rPr>
          <w:rFonts w:hint="eastAsia" w:ascii="仿宋_GB2312" w:eastAsia="仿宋_GB2312" w:cs="仿宋_GB2312"/>
          <w:sz w:val="30"/>
          <w:szCs w:val="30"/>
          <w:lang w:val="en-US"/>
        </w:rPr>
      </w:pPr>
      <w:r>
        <w:rPr>
          <w:rFonts w:hint="eastAsia" w:ascii="仿宋_GB2312" w:hAnsi="Calibri" w:eastAsia="仿宋_GB2312" w:cs="仿宋_GB2312"/>
          <w:b/>
          <w:bCs w:val="0"/>
          <w:kern w:val="2"/>
          <w:sz w:val="30"/>
          <w:szCs w:val="30"/>
          <w:lang w:val="en-US" w:eastAsia="zh-CN" w:bidi="ar"/>
        </w:rPr>
        <w:t xml:space="preserve">第五条 </w:t>
      </w:r>
      <w:r>
        <w:rPr>
          <w:rFonts w:hint="default" w:ascii="Calibri" w:hAnsi="Calibri" w:eastAsia="宋体" w:cs="Times New Roman"/>
          <w:kern w:val="2"/>
          <w:sz w:val="30"/>
          <w:szCs w:val="30"/>
          <w:lang w:val="en-US" w:eastAsia="zh-CN" w:bidi="ar"/>
        </w:rPr>
        <w:t xml:space="preserve">   </w:t>
      </w:r>
      <w:r>
        <w:rPr>
          <w:rFonts w:hint="eastAsia" w:ascii="仿宋_GB2312" w:hAnsi="Calibri" w:eastAsia="仿宋_GB2312" w:cs="仿宋_GB2312"/>
          <w:kern w:val="2"/>
          <w:sz w:val="30"/>
          <w:szCs w:val="30"/>
          <w:lang w:val="en-US" w:eastAsia="zh-CN" w:bidi="ar"/>
        </w:rPr>
        <w:t>限制条件</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有下列情形之一者，不得申报教学工作先进个人：</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1．在教学管理岗位上工作未满2年者。</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2．本评选学年内发生教学管理事故者。</w:t>
      </w:r>
    </w:p>
    <w:p>
      <w:pPr>
        <w:keepNext w:val="0"/>
        <w:keepLines w:val="0"/>
        <w:widowControl w:val="0"/>
        <w:suppressLineNumbers w:val="0"/>
        <w:spacing w:before="0" w:beforeAutospacing="0" w:after="0" w:afterAutospacing="0" w:line="500" w:lineRule="exact"/>
        <w:ind w:left="0" w:right="0" w:firstLine="600" w:firstLineChars="200"/>
        <w:jc w:val="both"/>
        <w:rPr>
          <w:sz w:val="30"/>
          <w:szCs w:val="30"/>
          <w:lang w:val="en-US"/>
        </w:rPr>
      </w:pPr>
      <w:r>
        <w:rPr>
          <w:rFonts w:hint="eastAsia" w:ascii="仿宋_GB2312" w:hAnsi="Calibri" w:eastAsia="仿宋_GB2312" w:cs="仿宋_GB2312"/>
          <w:kern w:val="2"/>
          <w:sz w:val="30"/>
          <w:szCs w:val="30"/>
          <w:lang w:val="en-US" w:eastAsia="zh-CN" w:bidi="ar"/>
        </w:rPr>
        <w:t>3．本学年个人被学院或学校通报批评或处分者。</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4．本学年师德师风考核不合格者。</w:t>
      </w:r>
    </w:p>
    <w:p>
      <w:pPr>
        <w:keepNext w:val="0"/>
        <w:keepLines w:val="0"/>
        <w:widowControl w:val="0"/>
        <w:suppressLineNumbers w:val="0"/>
        <w:spacing w:before="0" w:beforeAutospacing="0" w:after="0" w:afterAutospacing="0" w:line="500" w:lineRule="exact"/>
        <w:ind w:left="0" w:right="0" w:firstLine="600" w:firstLineChars="200"/>
        <w:jc w:val="center"/>
        <w:rPr>
          <w:rFonts w:hint="eastAsia" w:ascii="黑体" w:hAnsi="Calibri" w:eastAsia="黑体" w:cs="黑体"/>
          <w:sz w:val="30"/>
          <w:szCs w:val="30"/>
          <w:lang w:val="en-US"/>
        </w:rPr>
      </w:pPr>
      <w:r>
        <w:rPr>
          <w:rFonts w:hint="eastAsia" w:ascii="黑体" w:hAnsi="Calibri" w:eastAsia="黑体" w:cs="黑体"/>
          <w:kern w:val="2"/>
          <w:sz w:val="30"/>
          <w:szCs w:val="30"/>
          <w:lang w:val="en-US" w:eastAsia="zh-CN" w:bidi="ar"/>
        </w:rPr>
        <w:t>第四章    评选办法与程序</w:t>
      </w:r>
    </w:p>
    <w:p>
      <w:pPr>
        <w:keepNext w:val="0"/>
        <w:keepLines w:val="0"/>
        <w:widowControl w:val="0"/>
        <w:suppressLineNumbers w:val="0"/>
        <w:spacing w:before="0" w:beforeAutospacing="0" w:after="0" w:afterAutospacing="0" w:line="500" w:lineRule="exact"/>
        <w:ind w:left="0" w:right="0" w:firstLine="602" w:firstLineChars="200"/>
        <w:jc w:val="both"/>
        <w:rPr>
          <w:rFonts w:hint="eastAsia" w:ascii="仿宋_GB2312" w:eastAsia="仿宋_GB2312" w:cs="仿宋_GB2312"/>
          <w:sz w:val="30"/>
          <w:szCs w:val="30"/>
          <w:lang w:val="en-US"/>
        </w:rPr>
      </w:pPr>
      <w:r>
        <w:rPr>
          <w:rFonts w:hint="eastAsia" w:ascii="仿宋_GB2312" w:hAnsi="Calibri" w:eastAsia="仿宋_GB2312" w:cs="仿宋_GB2312"/>
          <w:b/>
          <w:bCs w:val="0"/>
          <w:kern w:val="2"/>
          <w:sz w:val="30"/>
          <w:szCs w:val="30"/>
          <w:lang w:val="en-US" w:eastAsia="zh-CN" w:bidi="ar"/>
        </w:rPr>
        <w:t>第六条</w:t>
      </w:r>
      <w:r>
        <w:rPr>
          <w:rFonts w:hint="eastAsia" w:ascii="黑体" w:hAnsi="Calibri" w:eastAsia="黑体" w:cs="黑体"/>
          <w:b/>
          <w:bCs w:val="0"/>
          <w:kern w:val="2"/>
          <w:sz w:val="30"/>
          <w:szCs w:val="30"/>
          <w:lang w:val="en-US" w:eastAsia="zh-CN" w:bidi="ar"/>
        </w:rPr>
        <w:t xml:space="preserve">    </w:t>
      </w:r>
      <w:r>
        <w:rPr>
          <w:rFonts w:hint="eastAsia" w:ascii="仿宋_GB2312" w:hAnsi="Calibri" w:eastAsia="仿宋_GB2312" w:cs="仿宋_GB2312"/>
          <w:kern w:val="2"/>
          <w:sz w:val="30"/>
          <w:szCs w:val="30"/>
          <w:lang w:val="en-US" w:eastAsia="zh-CN" w:bidi="ar"/>
        </w:rPr>
        <w:t>评选时间</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教学管理工作先进个人每学年评选1次，一般在6月底评选。评选考核的业绩范围为该评选学年度内。</w:t>
      </w:r>
    </w:p>
    <w:p>
      <w:pPr>
        <w:keepNext w:val="0"/>
        <w:keepLines w:val="0"/>
        <w:widowControl w:val="0"/>
        <w:suppressLineNumbers w:val="0"/>
        <w:spacing w:before="0" w:beforeAutospacing="0" w:after="0" w:afterAutospacing="0" w:line="500" w:lineRule="exact"/>
        <w:ind w:left="0" w:right="0" w:firstLine="602" w:firstLineChars="200"/>
        <w:jc w:val="both"/>
        <w:rPr>
          <w:rFonts w:hint="eastAsia" w:ascii="仿宋_GB2312" w:eastAsia="仿宋_GB2312" w:cs="仿宋_GB2312"/>
          <w:sz w:val="30"/>
          <w:szCs w:val="30"/>
          <w:lang w:val="en-US"/>
        </w:rPr>
      </w:pPr>
      <w:r>
        <w:rPr>
          <w:rFonts w:hint="eastAsia" w:ascii="仿宋_GB2312" w:hAnsi="Calibri" w:eastAsia="仿宋_GB2312" w:cs="仿宋_GB2312"/>
          <w:b/>
          <w:bCs w:val="0"/>
          <w:kern w:val="2"/>
          <w:sz w:val="30"/>
          <w:szCs w:val="30"/>
          <w:lang w:val="en-US" w:eastAsia="zh-CN" w:bidi="ar"/>
        </w:rPr>
        <w:t>第七条</w:t>
      </w:r>
      <w:r>
        <w:rPr>
          <w:rFonts w:hint="eastAsia" w:ascii="黑体" w:hAnsi="Calibri" w:eastAsia="黑体" w:cs="黑体"/>
          <w:b/>
          <w:bCs w:val="0"/>
          <w:kern w:val="2"/>
          <w:sz w:val="30"/>
          <w:szCs w:val="30"/>
          <w:lang w:val="en-US" w:eastAsia="zh-CN" w:bidi="ar"/>
        </w:rPr>
        <w:t xml:space="preserve">    </w:t>
      </w:r>
      <w:r>
        <w:rPr>
          <w:rFonts w:hint="eastAsia" w:ascii="仿宋_GB2312" w:hAnsi="Calibri" w:eastAsia="仿宋_GB2312" w:cs="仿宋_GB2312"/>
          <w:kern w:val="2"/>
          <w:sz w:val="30"/>
          <w:szCs w:val="30"/>
          <w:lang w:val="en-US" w:eastAsia="zh-CN" w:bidi="ar"/>
        </w:rPr>
        <w:t>评选程序</w:t>
      </w:r>
    </w:p>
    <w:p>
      <w:pPr>
        <w:keepNext w:val="0"/>
        <w:keepLines w:val="0"/>
        <w:widowControl w:val="0"/>
        <w:suppressLineNumbers w:val="0"/>
        <w:spacing w:before="0" w:beforeAutospacing="0" w:after="0" w:afterAutospacing="0" w:line="500" w:lineRule="exact"/>
        <w:ind w:left="0" w:right="0" w:firstLine="600" w:firstLineChars="200"/>
        <w:jc w:val="both"/>
        <w:rPr>
          <w:sz w:val="30"/>
          <w:szCs w:val="30"/>
          <w:lang w:val="en-US"/>
        </w:rPr>
      </w:pPr>
      <w:r>
        <w:rPr>
          <w:rFonts w:hint="eastAsia" w:ascii="仿宋_GB2312" w:hAnsi="Calibri" w:eastAsia="仿宋_GB2312" w:cs="仿宋_GB2312"/>
          <w:kern w:val="2"/>
          <w:sz w:val="30"/>
          <w:szCs w:val="30"/>
          <w:lang w:val="en-US" w:eastAsia="zh-CN" w:bidi="ar"/>
        </w:rPr>
        <w:t>教学管理先进个人由个人提出申报，填写《宜春学院教学管理工作先进个人推荐表》(附件一)，各教学院或学校教学管理部门同意推荐，教务处进行资格审核后组织专家进行评选，评选结果公示无异议后，报学校审定并予以表彰。</w:t>
      </w:r>
    </w:p>
    <w:p>
      <w:pPr>
        <w:keepNext w:val="0"/>
        <w:keepLines w:val="0"/>
        <w:widowControl w:val="0"/>
        <w:suppressLineNumbers w:val="0"/>
        <w:spacing w:before="0" w:beforeAutospacing="0" w:after="0" w:afterAutospacing="0" w:line="500" w:lineRule="exact"/>
        <w:ind w:left="0" w:right="0" w:firstLine="602" w:firstLineChars="200"/>
        <w:jc w:val="both"/>
        <w:rPr>
          <w:rFonts w:hint="eastAsia" w:ascii="仿宋_GB2312" w:eastAsia="仿宋_GB2312" w:cs="仿宋_GB2312"/>
          <w:sz w:val="30"/>
          <w:szCs w:val="30"/>
          <w:lang w:val="en-US"/>
        </w:rPr>
      </w:pPr>
      <w:r>
        <w:rPr>
          <w:rFonts w:hint="eastAsia" w:ascii="仿宋_GB2312" w:hAnsi="Calibri" w:eastAsia="仿宋_GB2312" w:cs="仿宋_GB2312"/>
          <w:b/>
          <w:bCs w:val="0"/>
          <w:kern w:val="2"/>
          <w:sz w:val="30"/>
          <w:szCs w:val="30"/>
          <w:lang w:val="en-US" w:eastAsia="zh-CN" w:bidi="ar"/>
        </w:rPr>
        <w:t>第八条</w:t>
      </w:r>
      <w:r>
        <w:rPr>
          <w:rFonts w:hint="eastAsia" w:ascii="黑体" w:hAnsi="Calibri" w:eastAsia="黑体" w:cs="黑体"/>
          <w:b/>
          <w:bCs w:val="0"/>
          <w:kern w:val="2"/>
          <w:sz w:val="30"/>
          <w:szCs w:val="30"/>
          <w:lang w:val="en-US" w:eastAsia="zh-CN" w:bidi="ar"/>
        </w:rPr>
        <w:t xml:space="preserve">    </w:t>
      </w:r>
      <w:r>
        <w:rPr>
          <w:rFonts w:hint="eastAsia" w:ascii="仿宋_GB2312" w:hAnsi="Calibri" w:eastAsia="仿宋_GB2312" w:cs="仿宋_GB2312"/>
          <w:kern w:val="2"/>
          <w:sz w:val="30"/>
          <w:szCs w:val="30"/>
          <w:lang w:val="en-US" w:eastAsia="zh-CN" w:bidi="ar"/>
        </w:rPr>
        <w:t>指标分配</w:t>
      </w:r>
    </w:p>
    <w:p>
      <w:pPr>
        <w:keepNext w:val="0"/>
        <w:keepLines w:val="0"/>
        <w:widowControl w:val="0"/>
        <w:suppressLineNumbers w:val="0"/>
        <w:spacing w:before="0" w:beforeAutospacing="0" w:after="0" w:afterAutospacing="0" w:line="500" w:lineRule="exact"/>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原则上按不超过全校教学管理人员总数20%的比例评选，具体指标在每学年根据学校工作实际分配下达。</w:t>
      </w:r>
    </w:p>
    <w:p>
      <w:pPr>
        <w:keepNext w:val="0"/>
        <w:keepLines w:val="0"/>
        <w:widowControl w:val="0"/>
        <w:suppressLineNumbers w:val="0"/>
        <w:spacing w:before="0" w:beforeAutospacing="0" w:after="0" w:afterAutospacing="0" w:line="500" w:lineRule="exact"/>
        <w:ind w:left="0" w:right="0" w:firstLine="600" w:firstLineChars="200"/>
        <w:jc w:val="center"/>
        <w:rPr>
          <w:rFonts w:hint="eastAsia" w:ascii="黑体" w:hAnsi="Calibri" w:eastAsia="黑体" w:cs="黑体"/>
          <w:sz w:val="30"/>
          <w:szCs w:val="30"/>
          <w:lang w:val="en-US"/>
        </w:rPr>
      </w:pPr>
      <w:r>
        <w:rPr>
          <w:rFonts w:hint="eastAsia" w:ascii="黑体" w:hAnsi="Calibri" w:eastAsia="黑体" w:cs="黑体"/>
          <w:kern w:val="2"/>
          <w:sz w:val="30"/>
          <w:szCs w:val="30"/>
          <w:lang w:val="en-US" w:eastAsia="zh-CN" w:bidi="ar"/>
        </w:rPr>
        <w:t>第五章    附则</w:t>
      </w:r>
    </w:p>
    <w:p>
      <w:pPr>
        <w:keepNext w:val="0"/>
        <w:keepLines w:val="0"/>
        <w:widowControl w:val="0"/>
        <w:suppressLineNumbers w:val="0"/>
        <w:spacing w:before="0" w:beforeAutospacing="0" w:after="0" w:afterAutospacing="0" w:line="500" w:lineRule="exact"/>
        <w:ind w:left="0" w:right="0" w:firstLine="602" w:firstLineChars="200"/>
        <w:jc w:val="both"/>
        <w:rPr>
          <w:sz w:val="30"/>
          <w:szCs w:val="30"/>
          <w:lang w:val="en-US"/>
        </w:rPr>
      </w:pPr>
      <w:r>
        <w:rPr>
          <w:rFonts w:hint="eastAsia" w:ascii="仿宋_GB2312" w:hAnsi="Calibri" w:eastAsia="仿宋_GB2312" w:cs="仿宋_GB2312"/>
          <w:b/>
          <w:bCs w:val="0"/>
          <w:kern w:val="2"/>
          <w:sz w:val="30"/>
          <w:szCs w:val="30"/>
          <w:lang w:val="en-US" w:eastAsia="zh-CN" w:bidi="ar"/>
        </w:rPr>
        <w:t>第九条</w:t>
      </w:r>
      <w:r>
        <w:rPr>
          <w:rFonts w:hint="eastAsia" w:ascii="黑体" w:hAnsi="Calibri" w:eastAsia="黑体" w:cs="黑体"/>
          <w:b/>
          <w:bCs w:val="0"/>
          <w:kern w:val="2"/>
          <w:sz w:val="30"/>
          <w:szCs w:val="30"/>
          <w:lang w:val="en-US" w:eastAsia="zh-CN" w:bidi="ar"/>
        </w:rPr>
        <w:t xml:space="preserve">    </w:t>
      </w:r>
      <w:r>
        <w:rPr>
          <w:rFonts w:hint="eastAsia" w:ascii="仿宋_GB2312" w:hAnsi="Calibri" w:eastAsia="仿宋_GB2312" w:cs="仿宋_GB2312"/>
          <w:kern w:val="2"/>
          <w:sz w:val="30"/>
          <w:szCs w:val="30"/>
          <w:lang w:val="en-US" w:eastAsia="zh-CN" w:bidi="ar"/>
        </w:rPr>
        <w:t>本办法自公布之日起实施，原《宜春学院教学工作先进集体与先进个人评选办法》（宜学院办字〔2013〕25号）同时废止。</w:t>
      </w:r>
    </w:p>
    <w:p>
      <w:pPr>
        <w:keepNext w:val="0"/>
        <w:keepLines w:val="0"/>
        <w:widowControl w:val="0"/>
        <w:suppressLineNumbers w:val="0"/>
        <w:spacing w:before="0" w:beforeAutospacing="0" w:after="0" w:afterAutospacing="0"/>
        <w:ind w:left="0" w:right="0" w:firstLine="602" w:firstLineChars="200"/>
        <w:jc w:val="both"/>
        <w:rPr>
          <w:sz w:val="30"/>
          <w:szCs w:val="30"/>
          <w:lang w:val="en-US"/>
        </w:rPr>
      </w:pPr>
      <w:r>
        <w:rPr>
          <w:rFonts w:hint="eastAsia" w:ascii="仿宋_GB2312" w:hAnsi="Calibri" w:eastAsia="仿宋_GB2312" w:cs="仿宋_GB2312"/>
          <w:b/>
          <w:bCs w:val="0"/>
          <w:kern w:val="2"/>
          <w:sz w:val="30"/>
          <w:szCs w:val="30"/>
          <w:lang w:val="en-US" w:eastAsia="zh-CN" w:bidi="ar"/>
        </w:rPr>
        <w:t>第十条</w:t>
      </w:r>
      <w:r>
        <w:rPr>
          <w:rFonts w:hint="eastAsia" w:ascii="黑体" w:hAnsi="Calibri" w:eastAsia="黑体" w:cs="黑体"/>
          <w:b/>
          <w:bCs w:val="0"/>
          <w:kern w:val="2"/>
          <w:sz w:val="30"/>
          <w:szCs w:val="30"/>
          <w:lang w:val="en-US" w:eastAsia="zh-CN" w:bidi="ar"/>
        </w:rPr>
        <w:t xml:space="preserve">   </w:t>
      </w:r>
      <w:r>
        <w:rPr>
          <w:rFonts w:hint="default" w:ascii="Calibri" w:hAnsi="Calibri" w:eastAsia="宋体" w:cs="Times New Roman"/>
          <w:kern w:val="2"/>
          <w:sz w:val="30"/>
          <w:szCs w:val="30"/>
          <w:lang w:val="en-US" w:eastAsia="zh-CN" w:bidi="ar"/>
        </w:rPr>
        <w:t xml:space="preserve"> </w:t>
      </w:r>
      <w:r>
        <w:rPr>
          <w:rFonts w:hint="eastAsia" w:ascii="仿宋_GB2312" w:hAnsi="Calibri" w:eastAsia="仿宋_GB2312" w:cs="仿宋_GB2312"/>
          <w:kern w:val="2"/>
          <w:sz w:val="30"/>
          <w:szCs w:val="30"/>
          <w:lang w:val="en-US" w:eastAsia="zh-CN" w:bidi="ar"/>
        </w:rPr>
        <w:t>本办法由教务处负责解释。</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宜春学院教学管理工作先进个人推荐表</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36"/>
          <w:lang w:val="en-US"/>
        </w:rPr>
      </w:pPr>
      <w:r>
        <w:rPr>
          <w:rFonts w:hint="eastAsia" w:ascii="宋体" w:hAnsi="宋体" w:eastAsia="宋体" w:cs="宋体"/>
          <w:kern w:val="2"/>
          <w:sz w:val="24"/>
          <w:szCs w:val="24"/>
          <w:lang w:val="en-US" w:eastAsia="zh-CN" w:bidi="ar"/>
        </w:rPr>
        <w:t>学院（部门）：                                        至      学年度</w:t>
      </w:r>
    </w:p>
    <w:tbl>
      <w:tblPr>
        <w:tblStyle w:val="9"/>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494"/>
        <w:gridCol w:w="2403"/>
        <w:gridCol w:w="1052"/>
        <w:gridCol w:w="542"/>
        <w:gridCol w:w="835"/>
        <w:gridCol w:w="164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7" w:hRule="atLeast"/>
          <w:jc w:val="center"/>
        </w:trPr>
        <w:tc>
          <w:tcPr>
            <w:tcW w:w="14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姓名</w:t>
            </w:r>
          </w:p>
        </w:tc>
        <w:tc>
          <w:tcPr>
            <w:tcW w:w="24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0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性别</w:t>
            </w:r>
          </w:p>
        </w:tc>
        <w:tc>
          <w:tcPr>
            <w:tcW w:w="137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6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出生年月</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岁）</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参加工</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作时间</w:t>
            </w:r>
          </w:p>
        </w:tc>
        <w:tc>
          <w:tcPr>
            <w:tcW w:w="24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p>
        </w:tc>
        <w:tc>
          <w:tcPr>
            <w:tcW w:w="10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现任</w:t>
            </w:r>
          </w:p>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4"/>
                <w:szCs w:val="22"/>
                <w:bdr w:val="none" w:color="auto" w:sz="0" w:space="0"/>
                <w:lang w:val="en-US" w:eastAsia="zh-CN" w:bidi="ar"/>
              </w:rPr>
              <w:t>职务</w:t>
            </w:r>
          </w:p>
        </w:tc>
        <w:tc>
          <w:tcPr>
            <w:tcW w:w="137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6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担任教学管理工作时间</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4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师德师风</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考核情况</w:t>
            </w:r>
          </w:p>
        </w:tc>
        <w:tc>
          <w:tcPr>
            <w:tcW w:w="24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9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4"/>
                <w:szCs w:val="22"/>
                <w:bdr w:val="none" w:color="auto" w:sz="0" w:space="0"/>
                <w:lang w:val="en-US" w:eastAsia="zh-CN" w:bidi="ar"/>
              </w:rPr>
              <w:t>联系方式</w:t>
            </w:r>
          </w:p>
        </w:tc>
        <w:tc>
          <w:tcPr>
            <w:tcW w:w="4041"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exact"/>
          <w:jc w:val="center"/>
        </w:trPr>
        <w:tc>
          <w:tcPr>
            <w:tcW w:w="1494" w:type="dxa"/>
            <w:tcBorders>
              <w:top w:val="single" w:color="auto" w:sz="4" w:space="0"/>
              <w:left w:val="single" w:color="auto" w:sz="4" w:space="0"/>
              <w:bottom w:val="single" w:color="auto" w:sz="4" w:space="0"/>
              <w:right w:val="single" w:color="auto" w:sz="4" w:space="0"/>
            </w:tcBorders>
            <w:shd w:val="clear"/>
            <w:textDirection w:val="tbRlV"/>
            <w:vAlign w:val="center"/>
          </w:tcPr>
          <w:p>
            <w:pPr>
              <w:keepNext w:val="0"/>
              <w:keepLines w:val="0"/>
              <w:widowControl w:val="0"/>
              <w:suppressLineNumbers w:val="0"/>
              <w:spacing w:before="0" w:beforeAutospacing="0" w:after="0" w:afterAutospacing="0"/>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（本学年度内）主要工作业绩和奖惩情况</w:t>
            </w:r>
            <w:r>
              <w:rPr>
                <w:rFonts w:hint="default" w:ascii="Calibri" w:hAnsi="Calibri" w:eastAsia="宋体" w:cs="Times New Roman"/>
                <w:kern w:val="2"/>
                <w:sz w:val="28"/>
                <w:szCs w:val="28"/>
                <w:bdr w:val="none" w:color="auto" w:sz="0" w:space="0"/>
                <w:lang w:val="en-US" w:eastAsia="zh-CN" w:bidi="ar"/>
              </w:rPr>
              <w:t xml:space="preserve">    </w:t>
            </w:r>
          </w:p>
        </w:tc>
        <w:tc>
          <w:tcPr>
            <w:tcW w:w="8038"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default" w:ascii="Calibri" w:hAnsi="Calibri" w:eastAsia="宋体" w:cs="Times New Roman"/>
                <w:kern w:val="2"/>
                <w:sz w:val="21"/>
                <w:szCs w:val="22"/>
                <w:bdr w:val="none" w:color="auto" w:sz="0" w:space="0"/>
                <w:lang w:val="en-US" w:eastAsia="zh-CN" w:bidi="ar"/>
              </w:rPr>
              <w:t xml:space="preserve">          </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申请人：</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年</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月</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日</w:t>
            </w:r>
          </w:p>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exact"/>
          <w:jc w:val="center"/>
        </w:trPr>
        <w:tc>
          <w:tcPr>
            <w:tcW w:w="1494" w:type="dxa"/>
            <w:tcBorders>
              <w:top w:val="single" w:color="auto" w:sz="4" w:space="0"/>
              <w:left w:val="single" w:color="auto" w:sz="4" w:space="0"/>
              <w:bottom w:val="single" w:color="auto" w:sz="4" w:space="0"/>
              <w:right w:val="single" w:color="auto" w:sz="4" w:space="0"/>
            </w:tcBorders>
            <w:shd w:val="clear"/>
            <w:textDirection w:val="tbRlV"/>
            <w:vAlign w:val="center"/>
          </w:tcPr>
          <w:p>
            <w:pPr>
              <w:keepNext w:val="0"/>
              <w:keepLines w:val="0"/>
              <w:widowControl w:val="0"/>
              <w:suppressLineNumbers w:val="0"/>
              <w:spacing w:before="0" w:beforeAutospacing="0" w:after="0" w:afterAutospacing="0"/>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教学院（部门）意见</w:t>
            </w:r>
          </w:p>
        </w:tc>
        <w:tc>
          <w:tcPr>
            <w:tcW w:w="8038"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center"/>
              <w:rPr>
                <w:bdr w:val="none" w:color="auto" w:sz="0" w:space="0"/>
                <w:lang w:val="en-US"/>
              </w:rPr>
            </w:pPr>
          </w:p>
          <w:p>
            <w:pPr>
              <w:keepNext w:val="0"/>
              <w:keepLines w:val="0"/>
              <w:widowControl w:val="0"/>
              <w:suppressLineNumbers w:val="0"/>
              <w:spacing w:before="0" w:beforeAutospacing="0" w:after="0" w:afterAutospacing="0"/>
              <w:ind w:left="0" w:right="0"/>
              <w:jc w:val="center"/>
              <w:rPr>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default" w:ascii="Calibri" w:hAnsi="Calibri" w:eastAsia="宋体" w:cs="Times New Roman"/>
                <w:kern w:val="2"/>
                <w:sz w:val="21"/>
                <w:szCs w:val="22"/>
                <w:bdr w:val="none" w:color="auto" w:sz="0" w:space="0"/>
                <w:lang w:val="en-US" w:eastAsia="zh-CN" w:bidi="ar"/>
              </w:rPr>
              <w:t xml:space="preserve">                                   </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签字：</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（学院公章）</w:t>
            </w: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年</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月</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日</w:t>
            </w:r>
          </w:p>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exact"/>
          <w:jc w:val="center"/>
        </w:trPr>
        <w:tc>
          <w:tcPr>
            <w:tcW w:w="1494" w:type="dxa"/>
            <w:tcBorders>
              <w:top w:val="single" w:color="auto" w:sz="4" w:space="0"/>
              <w:left w:val="single" w:color="auto" w:sz="4" w:space="0"/>
              <w:bottom w:val="single" w:color="auto" w:sz="4" w:space="0"/>
              <w:right w:val="single" w:color="auto" w:sz="4" w:space="0"/>
            </w:tcBorders>
            <w:shd w:val="clear"/>
            <w:textDirection w:val="tbRlV"/>
            <w:vAlign w:val="center"/>
          </w:tcPr>
          <w:p>
            <w:pPr>
              <w:keepNext w:val="0"/>
              <w:keepLines w:val="0"/>
              <w:widowControl w:val="0"/>
              <w:suppressLineNumbers w:val="0"/>
              <w:spacing w:before="0" w:beforeAutospacing="0" w:after="0" w:afterAutospacing="0"/>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教务处审核意见</w:t>
            </w:r>
          </w:p>
        </w:tc>
        <w:tc>
          <w:tcPr>
            <w:tcW w:w="8038"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p>
            <w:pPr>
              <w:keepNext w:val="0"/>
              <w:keepLines w:val="0"/>
              <w:widowControl w:val="0"/>
              <w:suppressLineNumbers w:val="0"/>
              <w:spacing w:before="0" w:beforeAutospacing="0" w:after="0" w:afterAutospacing="0"/>
              <w:ind w:left="0" w:right="0"/>
              <w:jc w:val="center"/>
              <w:rPr>
                <w:bdr w:val="none" w:color="auto" w:sz="0" w:space="0"/>
                <w:lang w:val="en-US"/>
              </w:rPr>
            </w:pPr>
          </w:p>
          <w:p>
            <w:pPr>
              <w:keepNext w:val="0"/>
              <w:keepLines w:val="0"/>
              <w:widowControl w:val="0"/>
              <w:suppressLineNumbers w:val="0"/>
              <w:spacing w:before="0" w:beforeAutospacing="0" w:after="0" w:afterAutospacing="0"/>
              <w:ind w:left="0" w:right="0"/>
              <w:jc w:val="center"/>
              <w:rPr>
                <w:bdr w:val="none" w:color="auto" w:sz="0" w:space="0"/>
                <w:lang w:val="en-US"/>
              </w:rPr>
            </w:pPr>
          </w:p>
          <w:p>
            <w:pPr>
              <w:keepNext w:val="0"/>
              <w:keepLines w:val="0"/>
              <w:widowControl w:val="0"/>
              <w:suppressLineNumbers w:val="0"/>
              <w:spacing w:before="0" w:beforeAutospacing="0" w:after="0" w:afterAutospacing="0"/>
              <w:ind w:left="0" w:right="0"/>
              <w:jc w:val="center"/>
              <w:rPr>
                <w:bdr w:val="none" w:color="auto" w:sz="0" w:space="0"/>
                <w:lang w:val="en-US"/>
              </w:rPr>
            </w:pPr>
          </w:p>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exact"/>
          <w:jc w:val="center"/>
        </w:trPr>
        <w:tc>
          <w:tcPr>
            <w:tcW w:w="1494" w:type="dxa"/>
            <w:tcBorders>
              <w:top w:val="single" w:color="auto" w:sz="4" w:space="0"/>
              <w:left w:val="single" w:color="auto" w:sz="4" w:space="0"/>
              <w:bottom w:val="single" w:color="auto" w:sz="4" w:space="0"/>
              <w:right w:val="single" w:color="auto" w:sz="4" w:space="0"/>
            </w:tcBorders>
            <w:shd w:val="clear"/>
            <w:textDirection w:val="tbRlV"/>
            <w:vAlign w:val="center"/>
          </w:tcPr>
          <w:p>
            <w:pPr>
              <w:keepNext w:val="0"/>
              <w:keepLines w:val="0"/>
              <w:widowControl w:val="0"/>
              <w:suppressLineNumbers w:val="0"/>
              <w:spacing w:before="0" w:beforeAutospacing="0" w:after="0" w:afterAutospacing="0"/>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评审专家</w:t>
            </w:r>
          </w:p>
          <w:p>
            <w:pPr>
              <w:keepNext w:val="0"/>
              <w:keepLines w:val="0"/>
              <w:widowControl w:val="0"/>
              <w:suppressLineNumbers w:val="0"/>
              <w:spacing w:before="0" w:beforeAutospacing="0" w:after="0" w:afterAutospacing="0"/>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审核意见</w:t>
            </w:r>
          </w:p>
        </w:tc>
        <w:tc>
          <w:tcPr>
            <w:tcW w:w="8038"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1494" w:type="dxa"/>
            <w:tcBorders>
              <w:top w:val="single" w:color="auto" w:sz="4" w:space="0"/>
              <w:left w:val="single" w:color="auto" w:sz="4" w:space="0"/>
              <w:bottom w:val="single" w:color="auto" w:sz="4" w:space="0"/>
              <w:right w:val="single" w:color="auto" w:sz="4" w:space="0"/>
            </w:tcBorders>
            <w:shd w:val="clear"/>
            <w:textDirection w:val="tbRlV"/>
            <w:vAlign w:val="center"/>
          </w:tcPr>
          <w:p>
            <w:pPr>
              <w:keepNext w:val="0"/>
              <w:keepLines w:val="0"/>
              <w:widowControl w:val="0"/>
              <w:suppressLineNumbers w:val="0"/>
              <w:spacing w:before="0" w:beforeAutospacing="0" w:after="0" w:afterAutospacing="0"/>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学校意见</w:t>
            </w:r>
          </w:p>
        </w:tc>
        <w:tc>
          <w:tcPr>
            <w:tcW w:w="8038"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firstLine="3780" w:firstLineChars="1800"/>
              <w:jc w:val="both"/>
              <w:rPr>
                <w:sz w:val="24"/>
                <w:szCs w:val="22"/>
                <w:bdr w:val="none" w:color="auto" w:sz="0" w:space="0"/>
                <w:lang w:val="en-US"/>
              </w:rPr>
            </w:pPr>
            <w:r>
              <w:rPr>
                <w:rFonts w:hint="default" w:ascii="Calibri" w:hAnsi="Calibri" w:eastAsia="宋体" w:cs="Times New Roman"/>
                <w:kern w:val="2"/>
                <w:sz w:val="21"/>
                <w:szCs w:val="22"/>
                <w:bdr w:val="none" w:color="auto" w:sz="0" w:space="0"/>
                <w:lang w:val="en-US" w:eastAsia="zh-CN" w:bidi="ar"/>
              </w:rPr>
              <w:t xml:space="preserve">  </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签</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字：</w:t>
            </w:r>
          </w:p>
          <w:p>
            <w:pPr>
              <w:keepNext w:val="0"/>
              <w:keepLines w:val="0"/>
              <w:widowControl w:val="0"/>
              <w:suppressLineNumbers w:val="0"/>
              <w:spacing w:before="0" w:beforeAutospacing="0" w:after="0" w:afterAutospacing="0"/>
              <w:ind w:left="0" w:right="0" w:firstLine="4680" w:firstLineChars="1950"/>
              <w:jc w:val="both"/>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年</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月</w:t>
            </w:r>
            <w:r>
              <w:rPr>
                <w:rFonts w:hint="default" w:ascii="Calibri" w:hAnsi="Calibri" w:eastAsia="宋体" w:cs="Times New Roman"/>
                <w:kern w:val="2"/>
                <w:sz w:val="24"/>
                <w:szCs w:val="22"/>
                <w:bdr w:val="none" w:color="auto" w:sz="0" w:space="0"/>
                <w:lang w:val="en-US" w:eastAsia="zh-CN" w:bidi="ar"/>
              </w:rPr>
              <w:t xml:space="preserve">     </w:t>
            </w:r>
            <w:r>
              <w:rPr>
                <w:rFonts w:hint="eastAsia" w:ascii="Calibri" w:hAnsi="Calibri" w:eastAsia="宋体" w:cs="宋体"/>
                <w:kern w:val="2"/>
                <w:sz w:val="24"/>
                <w:szCs w:val="22"/>
                <w:bdr w:val="none" w:color="auto" w:sz="0" w:space="0"/>
                <w:lang w:val="en-US" w:eastAsia="zh-CN" w:bidi="ar"/>
              </w:rPr>
              <w:t>日</w:t>
            </w:r>
          </w:p>
          <w:p>
            <w:pPr>
              <w:keepNext w:val="0"/>
              <w:keepLines w:val="0"/>
              <w:widowControl w:val="0"/>
              <w:suppressLineNumbers w:val="0"/>
              <w:spacing w:before="0" w:beforeAutospacing="0" w:after="0" w:afterAutospacing="0"/>
              <w:ind w:left="0" w:right="0"/>
              <w:jc w:val="both"/>
              <w:rPr>
                <w:bdr w:val="none" w:color="auto" w:sz="0" w:space="0"/>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22"/>
        <w:widowControl/>
        <w:spacing w:before="0" w:beforeAutospacing="0" w:after="0" w:afterAutospacing="0" w:line="460" w:lineRule="atLeast"/>
        <w:ind w:left="0" w:right="0"/>
        <w:jc w:val="center"/>
        <w:rPr>
          <w:rFonts w:cs="仿宋_GB2312"/>
          <w:b/>
          <w:bCs w:val="0"/>
          <w:kern w:val="2"/>
          <w:sz w:val="44"/>
          <w:szCs w:val="44"/>
          <w:lang w:val="en-US"/>
        </w:rPr>
      </w:pPr>
      <w:r>
        <w:rPr>
          <w:rFonts w:hint="eastAsia" w:ascii="宋体" w:hAnsi="宋体" w:eastAsia="宋体" w:cs="宋体"/>
          <w:sz w:val="24"/>
          <w:szCs w:val="24"/>
          <w:lang w:val="en-US" w:eastAsia="zh-CN" w:bidi="ar"/>
        </w:rPr>
        <w:br w:type="page"/>
      </w:r>
      <w:r>
        <w:rPr>
          <w:rFonts w:cs="仿宋_GB2312"/>
          <w:b/>
          <w:bCs w:val="0"/>
          <w:kern w:val="2"/>
          <w:sz w:val="44"/>
          <w:szCs w:val="44"/>
          <w:lang w:eastAsia="zh-CN"/>
        </w:rPr>
        <w:t>宜春学院教育实习评优暂行办法</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仿宋_GB2312" w:eastAsia="仿宋_GB2312" w:cs="仿宋_GB2312"/>
          <w:kern w:val="1"/>
          <w:sz w:val="32"/>
          <w:szCs w:val="32"/>
          <w:lang w:val="en-US"/>
        </w:rPr>
      </w:pPr>
    </w:p>
    <w:p>
      <w:pPr>
        <w:keepNext w:val="0"/>
        <w:keepLines w:val="0"/>
        <w:widowControl/>
        <w:suppressLineNumbers w:val="0"/>
        <w:adjustRightInd w:val="0"/>
        <w:snapToGrid w:val="0"/>
        <w:spacing w:before="0" w:beforeAutospacing="0" w:after="0" w:afterAutospacing="0" w:line="560" w:lineRule="exact"/>
        <w:ind w:left="0" w:right="0" w:firstLine="600" w:firstLineChars="200"/>
        <w:jc w:val="both"/>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教育实习是师范类专业学生毕业前在中小学进行教育和教学专业训练的一种实践形式。它是师范教育贯彻理论联系实际原则、实现培养目标不可缺少的教学环节，是教学计划中的重要组成部分。通过教育实习，可以使学生把知识综合运用于教育和教学实践，以培养和锻炼学生从事教育和教学工作的能力，并加深和巩固学生的专业思想。</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为充分发挥教育实习在师范生培养中的重要作用，促进师范生树立教育情怀、提高从教能力、广泛参与实践，提升教育实习质量，扩大教育实习成果，表彰在教育实习过程中表现突出的个人，特制定本办法。</w:t>
      </w:r>
    </w:p>
    <w:p>
      <w:pPr>
        <w:keepNext w:val="0"/>
        <w:keepLines w:val="0"/>
        <w:widowControl/>
        <w:suppressLineNumbers w:val="0"/>
        <w:adjustRightInd w:val="0"/>
        <w:snapToGrid w:val="0"/>
        <w:spacing w:before="0" w:beforeAutospacing="0" w:after="0" w:afterAutospacing="0" w:line="560" w:lineRule="exact"/>
        <w:ind w:left="0" w:right="0" w:firstLine="602" w:firstLineChars="200"/>
        <w:jc w:val="left"/>
        <w:rPr>
          <w:rFonts w:hint="eastAsia" w:ascii="宋体" w:hAnsi="宋体" w:eastAsia="宋体" w:cs="仿宋_GB2312"/>
          <w:b/>
          <w:kern w:val="1"/>
          <w:sz w:val="30"/>
          <w:szCs w:val="30"/>
          <w:lang w:val="en-US"/>
        </w:rPr>
      </w:pPr>
      <w:r>
        <w:rPr>
          <w:rFonts w:hint="eastAsia" w:ascii="宋体" w:hAnsi="宋体" w:eastAsia="宋体" w:cs="仿宋_GB2312"/>
          <w:b/>
          <w:kern w:val="1"/>
          <w:sz w:val="30"/>
          <w:szCs w:val="30"/>
          <w:lang w:val="en-US" w:eastAsia="zh-CN" w:bidi="ar"/>
        </w:rPr>
        <w:t>一、奖项设置</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教育实习评优设优秀校外实习指导教师、优秀实习生两个奖项。</w:t>
      </w:r>
    </w:p>
    <w:p>
      <w:pPr>
        <w:keepNext w:val="0"/>
        <w:keepLines w:val="0"/>
        <w:widowControl/>
        <w:suppressLineNumbers w:val="0"/>
        <w:adjustRightInd w:val="0"/>
        <w:snapToGrid w:val="0"/>
        <w:spacing w:before="0" w:beforeAutospacing="0" w:after="0" w:afterAutospacing="0" w:line="560" w:lineRule="exact"/>
        <w:ind w:left="0" w:right="0" w:firstLine="602" w:firstLineChars="200"/>
        <w:jc w:val="left"/>
        <w:rPr>
          <w:rFonts w:hint="eastAsia" w:ascii="宋体" w:hAnsi="宋体" w:eastAsia="宋体" w:cs="仿宋_GB2312"/>
          <w:b/>
          <w:kern w:val="1"/>
          <w:sz w:val="30"/>
          <w:szCs w:val="30"/>
          <w:lang w:val="en-US"/>
        </w:rPr>
      </w:pPr>
      <w:r>
        <w:rPr>
          <w:rFonts w:hint="eastAsia" w:ascii="宋体" w:hAnsi="宋体" w:eastAsia="宋体" w:cs="仿宋_GB2312"/>
          <w:b/>
          <w:kern w:val="1"/>
          <w:sz w:val="30"/>
          <w:szCs w:val="30"/>
          <w:lang w:val="en-US" w:eastAsia="zh-CN" w:bidi="ar"/>
        </w:rPr>
        <w:t>二、评优的范围和对象</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参加教育实习的校外指导教师和师范类专业毕业生。</w:t>
      </w:r>
    </w:p>
    <w:p>
      <w:pPr>
        <w:keepNext w:val="0"/>
        <w:keepLines w:val="0"/>
        <w:widowControl/>
        <w:suppressLineNumbers w:val="0"/>
        <w:adjustRightInd w:val="0"/>
        <w:snapToGrid w:val="0"/>
        <w:spacing w:before="0" w:beforeAutospacing="0" w:after="0" w:afterAutospacing="0" w:line="560" w:lineRule="exact"/>
        <w:ind w:left="0" w:right="0" w:firstLine="602" w:firstLineChars="200"/>
        <w:jc w:val="left"/>
        <w:rPr>
          <w:rFonts w:hint="eastAsia" w:ascii="宋体" w:hAnsi="宋体" w:eastAsia="宋体" w:cs="仿宋_GB2312"/>
          <w:b/>
          <w:kern w:val="1"/>
          <w:sz w:val="30"/>
          <w:szCs w:val="30"/>
          <w:lang w:val="en-US"/>
        </w:rPr>
      </w:pPr>
      <w:r>
        <w:rPr>
          <w:rFonts w:hint="eastAsia" w:ascii="宋体" w:hAnsi="宋体" w:eastAsia="宋体" w:cs="仿宋_GB2312"/>
          <w:b/>
          <w:kern w:val="1"/>
          <w:sz w:val="30"/>
          <w:szCs w:val="30"/>
          <w:lang w:val="en-US" w:eastAsia="zh-CN" w:bidi="ar"/>
        </w:rPr>
        <w:t>三、评选条件</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（一）优秀校外实习指导教师</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1.认真履行“双导师”工作职责。充分做好实习指导准备工作，对指导工作认真负责，所指导的实习生能出色完成实习任务。</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2.实习安全管理工作无失误。能加强实习安全教育和过程的管理，坚守工作岗位，所指导的实习生无违纪现象和安全事故。</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both"/>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3.紧密配合学院和实习基地开展实习指导工作和实习基地建设工作。</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4.为人师表，以身作则。有良好的师德修养，带领实习生践行师德，关心实习生的工作与生活。有违反教师职业道德的一票否决。</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（二）优秀实习生</w:t>
      </w:r>
    </w:p>
    <w:p>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b/>
          <w:bCs w:val="0"/>
          <w:kern w:val="0"/>
          <w:sz w:val="30"/>
          <w:szCs w:val="30"/>
          <w:lang w:val="en-US"/>
        </w:rPr>
      </w:pPr>
      <w:r>
        <w:rPr>
          <w:rFonts w:hint="eastAsia" w:ascii="仿宋_GB2312" w:hAnsi="仿宋_GB2312" w:eastAsia="仿宋_GB2312" w:cs="仿宋_GB2312"/>
          <w:kern w:val="1"/>
          <w:sz w:val="30"/>
          <w:szCs w:val="30"/>
          <w:lang w:val="en-US" w:eastAsia="zh-CN" w:bidi="ar"/>
        </w:rPr>
        <w:t xml:space="preserve">    1.有较强的组织纪律性。自觉遵守学校和实习单位的规章制度，服从实习安排，有良好的团队精神。</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2.有良好的师德养成意识。热爱实习工作岗位，实习目的明确、态度端正，主动学习师德规范和培养教育情怀。</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3.有良好的教学能力。能较好地运用教育理论指导教学，熟悉教材，教学方法和教具选用得当；能认真钻研教学大纲和教材，独立拟定教案，且完成质量较高。</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4.有扎实的教学技能。师范生教学技能扎实，能够独立制作多媒体教学课件，并在教学活动中使用，教学效果好。</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5.有较强的教育管理能力。能主动参与教育管理和教育教学互动，积极开展教育调查，主动配合指导教师完成教育管理工作，实习班主任工作出色，得到实习单位师生好评。</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6.实习表现突出，成绩优秀。能出色完成各项实习任务，实习综合评定成绩为优秀。</w:t>
      </w:r>
    </w:p>
    <w:p>
      <w:pPr>
        <w:keepNext w:val="0"/>
        <w:keepLines w:val="0"/>
        <w:widowControl/>
        <w:suppressLineNumbers w:val="0"/>
        <w:adjustRightInd w:val="0"/>
        <w:snapToGrid w:val="0"/>
        <w:spacing w:before="0" w:beforeAutospacing="0" w:after="0" w:afterAutospacing="0" w:line="560" w:lineRule="exact"/>
        <w:ind w:left="0" w:right="0" w:firstLine="602" w:firstLineChars="200"/>
        <w:jc w:val="left"/>
        <w:rPr>
          <w:rFonts w:hint="eastAsia" w:ascii="宋体" w:hAnsi="宋体" w:eastAsia="宋体" w:cs="仿宋_GB2312"/>
          <w:b/>
          <w:kern w:val="1"/>
          <w:sz w:val="30"/>
          <w:szCs w:val="30"/>
          <w:lang w:val="en-US"/>
        </w:rPr>
      </w:pPr>
      <w:r>
        <w:rPr>
          <w:rFonts w:hint="eastAsia" w:ascii="宋体" w:hAnsi="宋体" w:eastAsia="宋体" w:cs="仿宋_GB2312"/>
          <w:b/>
          <w:kern w:val="1"/>
          <w:sz w:val="30"/>
          <w:szCs w:val="30"/>
          <w:lang w:val="en-US" w:eastAsia="zh-CN" w:bidi="ar"/>
        </w:rPr>
        <w:t>四、评选标准和程序</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（一）优秀校外实习指导教师由各实习学校综合评定后推荐，优秀实习生由各实习学校和学生所在教学院根据实习情况综合评定后推荐，报教务处审核。</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（二）名额推荐标准</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1.优秀校外实习指导教师推荐名额不超过指导教师总人数的15%。</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2.优秀实习生比例不超过实习生人数的15%，分散实习的学生不参加优秀实习生的评选。</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（三）教育实习结束后应报送相关材料，包括：</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1.优秀校外实习指导教师：《宜春学院教育实习优秀校外实习指导教师推荐表》和《宜春学院教育实习优秀校外实习指导教师汇总表》。</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2.优秀实习生：《宜春学院教育实习优秀实习生推荐表》和《宜春学院教育实习优秀实习生推荐汇总表》。</w:t>
      </w:r>
    </w:p>
    <w:p>
      <w:pPr>
        <w:keepNext w:val="0"/>
        <w:keepLines w:val="0"/>
        <w:widowControl/>
        <w:suppressLineNumbers w:val="0"/>
        <w:adjustRightInd w:val="0"/>
        <w:snapToGrid w:val="0"/>
        <w:spacing w:before="0" w:beforeAutospacing="0" w:after="0" w:afterAutospacing="0" w:line="560" w:lineRule="exact"/>
        <w:ind w:left="0" w:right="0" w:firstLine="602" w:firstLineChars="200"/>
        <w:jc w:val="left"/>
        <w:rPr>
          <w:rFonts w:hint="eastAsia" w:ascii="宋体" w:hAnsi="宋体" w:eastAsia="宋体" w:cs="仿宋_GB2312"/>
          <w:b/>
          <w:kern w:val="1"/>
          <w:sz w:val="30"/>
          <w:szCs w:val="30"/>
          <w:lang w:val="en-US"/>
        </w:rPr>
      </w:pPr>
      <w:r>
        <w:rPr>
          <w:rFonts w:hint="eastAsia" w:ascii="宋体" w:hAnsi="宋体" w:eastAsia="宋体" w:cs="仿宋_GB2312"/>
          <w:b/>
          <w:kern w:val="1"/>
          <w:sz w:val="30"/>
          <w:szCs w:val="30"/>
          <w:lang w:val="en-US" w:eastAsia="zh-CN" w:bidi="ar"/>
        </w:rPr>
        <w:t>五、评选时间及其他</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1.评选时间：每年5月份开展教育实习评优工作。</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bCs/>
          <w:kern w:val="1"/>
          <w:sz w:val="30"/>
          <w:szCs w:val="30"/>
          <w:lang w:val="en-US" w:eastAsia="zh-CN" w:bidi="ar"/>
        </w:rPr>
        <w:t>2．凡评选出的优秀校外实习指导教师和</w:t>
      </w:r>
      <w:r>
        <w:rPr>
          <w:rFonts w:hint="eastAsia" w:ascii="仿宋_GB2312" w:hAnsi="仿宋_GB2312" w:eastAsia="仿宋_GB2312" w:cs="仿宋_GB2312"/>
          <w:kern w:val="1"/>
          <w:sz w:val="30"/>
          <w:szCs w:val="30"/>
          <w:lang w:val="en-US" w:eastAsia="zh-CN" w:bidi="ar"/>
        </w:rPr>
        <w:t>优秀实习生，将颁发荣誉证书。</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本办法自公布之日起试行，由教务处负责解释。</w:t>
      </w: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p>
    <w:p>
      <w:pPr>
        <w:keepNext w:val="0"/>
        <w:keepLines w:val="0"/>
        <w:widowControl/>
        <w:suppressLineNumbers w:val="0"/>
        <w:adjustRightInd w:val="0"/>
        <w:snapToGrid w:val="0"/>
        <w:spacing w:before="0" w:beforeAutospacing="0" w:after="0" w:afterAutospacing="0" w:line="560" w:lineRule="exact"/>
        <w:ind w:left="0" w:right="0" w:firstLine="600" w:firstLineChars="200"/>
        <w:jc w:val="left"/>
        <w:rPr>
          <w:rFonts w:hint="eastAsia" w:ascii="仿宋_GB2312" w:hAnsi="仿宋_GB2312" w:eastAsia="仿宋_GB2312" w:cs="仿宋_GB2312"/>
          <w:kern w:val="1"/>
          <w:sz w:val="30"/>
          <w:szCs w:val="30"/>
          <w:lang w:val="en-US"/>
        </w:rPr>
      </w:pPr>
      <w:r>
        <w:rPr>
          <w:rFonts w:hint="eastAsia" w:ascii="仿宋_GB2312" w:hAnsi="仿宋_GB2312" w:eastAsia="仿宋_GB2312" w:cs="仿宋_GB2312"/>
          <w:kern w:val="1"/>
          <w:sz w:val="30"/>
          <w:szCs w:val="30"/>
          <w:lang w:val="en-US" w:eastAsia="zh-CN" w:bidi="ar"/>
        </w:rPr>
        <w:t>附件：宜春学院教育实习评优相关表格</w:t>
      </w:r>
    </w:p>
    <w:p>
      <w:pPr>
        <w:keepNext w:val="0"/>
        <w:keepLines w:val="0"/>
        <w:widowControl/>
        <w:suppressLineNumbers w:val="0"/>
        <w:adjustRightInd w:val="0"/>
        <w:snapToGrid w:val="0"/>
        <w:spacing w:before="0" w:beforeAutospacing="0" w:after="0" w:afterAutospacing="0" w:line="560" w:lineRule="exact"/>
        <w:ind w:left="0" w:right="0"/>
        <w:jc w:val="left"/>
        <w:rPr>
          <w:rFonts w:hint="eastAsia" w:ascii="黑体" w:hAnsi="宋体" w:eastAsia="黑体" w:cs="黑体"/>
          <w:sz w:val="28"/>
          <w:szCs w:val="28"/>
          <w:lang w:val="en-US"/>
        </w:rPr>
      </w:pPr>
      <w:r>
        <w:rPr>
          <w:rFonts w:hint="eastAsia" w:ascii="仿宋_GB2312" w:hAnsi="仿宋_GB2312" w:eastAsia="仿宋_GB2312" w:cs="仿宋_GB2312"/>
          <w:b/>
          <w:bCs w:val="0"/>
          <w:kern w:val="1"/>
          <w:sz w:val="30"/>
          <w:szCs w:val="30"/>
          <w:lang w:val="en-US" w:eastAsia="zh-CN" w:bidi="ar"/>
        </w:rPr>
        <w:br w:type="page"/>
      </w:r>
      <w:r>
        <w:rPr>
          <w:rFonts w:hint="eastAsia" w:ascii="黑体" w:hAnsi="宋体" w:eastAsia="黑体" w:cs="黑体"/>
          <w:kern w:val="2"/>
          <w:sz w:val="28"/>
          <w:szCs w:val="28"/>
          <w:lang w:val="en-US" w:eastAsia="zh-CN" w:bidi="ar"/>
        </w:rPr>
        <w:t>表1</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sz w:val="36"/>
          <w:szCs w:val="36"/>
          <w:lang w:val="en-US"/>
        </w:rPr>
      </w:pPr>
      <w:r>
        <w:rPr>
          <w:rFonts w:hint="eastAsia" w:ascii="黑体" w:hAnsi="宋体" w:eastAsia="黑体" w:cs="黑体"/>
          <w:kern w:val="2"/>
          <w:sz w:val="32"/>
          <w:szCs w:val="32"/>
          <w:lang w:val="en-US" w:eastAsia="zh-CN" w:bidi="ar"/>
        </w:rPr>
        <w:t>宜春学院教育实习优秀校外实习指导教师推荐表</w:t>
      </w:r>
    </w:p>
    <w:tbl>
      <w:tblPr>
        <w:tblStyle w:val="9"/>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28"/>
        <w:gridCol w:w="206"/>
        <w:gridCol w:w="1364"/>
        <w:gridCol w:w="1365"/>
        <w:gridCol w:w="759"/>
        <w:gridCol w:w="567"/>
        <w:gridCol w:w="1301"/>
        <w:gridCol w:w="94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9" w:hRule="atLeast"/>
          <w:jc w:val="center"/>
        </w:trPr>
        <w:tc>
          <w:tcPr>
            <w:tcW w:w="73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姓名</w:t>
            </w:r>
          </w:p>
        </w:tc>
        <w:tc>
          <w:tcPr>
            <w:tcW w:w="13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c>
          <w:tcPr>
            <w:tcW w:w="1365" w:type="dxa"/>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所在单位</w:t>
            </w:r>
          </w:p>
        </w:tc>
        <w:tc>
          <w:tcPr>
            <w:tcW w:w="2627" w:type="dxa"/>
            <w:gridSpan w:val="3"/>
            <w:tcBorders>
              <w:top w:val="single" w:color="auto" w:sz="4" w:space="0"/>
              <w:left w:val="single" w:color="auto" w:sz="2" w:space="0"/>
              <w:bottom w:val="single" w:color="auto" w:sz="4" w:space="0"/>
              <w:right w:val="single" w:color="auto" w:sz="2"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c>
          <w:tcPr>
            <w:tcW w:w="945" w:type="dxa"/>
            <w:tcBorders>
              <w:top w:val="single" w:color="auto" w:sz="4" w:space="0"/>
              <w:left w:val="single" w:color="auto" w:sz="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职称</w:t>
            </w:r>
          </w:p>
        </w:tc>
        <w:tc>
          <w:tcPr>
            <w:tcW w:w="14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09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指导实习生的</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实习地点</w:t>
            </w:r>
          </w:p>
        </w:tc>
        <w:tc>
          <w:tcPr>
            <w:tcW w:w="3992"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c>
          <w:tcPr>
            <w:tcW w:w="9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所指导专业</w:t>
            </w:r>
          </w:p>
        </w:tc>
        <w:tc>
          <w:tcPr>
            <w:tcW w:w="14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098" w:type="dxa"/>
            <w:gridSpan w:val="3"/>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指导实习生人数</w:t>
            </w:r>
          </w:p>
        </w:tc>
        <w:tc>
          <w:tcPr>
            <w:tcW w:w="1365" w:type="dxa"/>
            <w:tcBorders>
              <w:top w:val="single" w:color="auto" w:sz="2" w:space="0"/>
              <w:left w:val="single" w:color="auto" w:sz="2" w:space="0"/>
              <w:bottom w:val="single" w:color="auto" w:sz="4" w:space="0"/>
              <w:right w:val="single" w:color="auto" w:sz="2"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c>
          <w:tcPr>
            <w:tcW w:w="5065" w:type="dxa"/>
            <w:gridSpan w:val="5"/>
            <w:tcBorders>
              <w:top w:val="single" w:color="auto" w:sz="2" w:space="0"/>
              <w:left w:val="single" w:color="auto" w:sz="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指导实习日期：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1" w:hRule="atLeast"/>
          <w:jc w:val="center"/>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工作小结</w:t>
            </w:r>
          </w:p>
        </w:tc>
        <w:tc>
          <w:tcPr>
            <w:tcW w:w="8000"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right"/>
              <w:rPr>
                <w:rFonts w:hint="eastAsia" w:ascii="宋体" w:hAnsi="宋体" w:eastAsia="宋体" w:cs="宋体"/>
                <w:bdr w:val="none" w:color="auto" w:sz="0" w:space="0"/>
                <w:lang w:val="en-US"/>
              </w:rPr>
            </w:pPr>
            <w:r>
              <w:rPr>
                <w:rFonts w:hint="eastAsia" w:ascii="宋体" w:hAnsi="宋体" w:eastAsia="宋体" w:cs="宋体"/>
                <w:kern w:val="2"/>
                <w:sz w:val="24"/>
                <w:szCs w:val="22"/>
                <w:bdr w:val="none" w:color="auto" w:sz="0" w:space="0"/>
                <w:lang w:val="en-US" w:eastAsia="zh-CN" w:bidi="ar"/>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jc w:val="center"/>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实习单位意见</w:t>
            </w:r>
          </w:p>
        </w:tc>
        <w:tc>
          <w:tcPr>
            <w:tcW w:w="8000" w:type="dxa"/>
            <w:gridSpan w:val="8"/>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 xml:space="preserve">                    负责人签字（单位公章）：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2"/>
                <w:bdr w:val="none" w:color="auto" w:sz="0" w:space="0"/>
                <w:lang w:val="en-US" w:eastAsia="zh-CN" w:bidi="ar"/>
              </w:rPr>
              <w:t>教育局意见</w:t>
            </w:r>
          </w:p>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694"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kern w:val="2"/>
                <w:sz w:val="24"/>
                <w:szCs w:val="22"/>
                <w:bdr w:val="none" w:color="auto" w:sz="0" w:space="0"/>
                <w:lang w:val="en-US" w:eastAsia="zh-CN" w:bidi="ar"/>
              </w:rPr>
              <w:t>（签章）：        年   月   日</w:t>
            </w: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2"/>
                <w:bdr w:val="none" w:color="auto" w:sz="0" w:space="0"/>
                <w:lang w:val="en-US" w:eastAsia="zh-CN" w:bidi="ar"/>
              </w:rPr>
              <w:t>学校意见</w:t>
            </w:r>
          </w:p>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739"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208" w:firstLineChars="87"/>
              <w:jc w:val="right"/>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firstLine="208" w:firstLineChars="87"/>
              <w:jc w:val="right"/>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firstLine="208" w:firstLineChars="87"/>
              <w:jc w:val="right"/>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firstLine="208" w:firstLineChars="87"/>
              <w:jc w:val="right"/>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firstLine="208" w:firstLineChars="87"/>
              <w:jc w:val="right"/>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firstLine="208" w:firstLineChars="87"/>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 xml:space="preserve">（签章）：    年   月  日   </w:t>
            </w:r>
          </w:p>
        </w:tc>
      </w:tr>
    </w:tbl>
    <w:p>
      <w:pPr>
        <w:keepNext w:val="0"/>
        <w:keepLines w:val="0"/>
        <w:widowControl w:val="0"/>
        <w:suppressLineNumbers w:val="0"/>
        <w:spacing w:before="0" w:beforeAutospacing="0" w:after="0" w:afterAutospacing="0"/>
        <w:ind w:left="0" w:right="0"/>
        <w:jc w:val="both"/>
        <w:rPr>
          <w:rFonts w:hint="eastAsia" w:ascii="宋体" w:hAnsi="Calibri" w:eastAsia="宋体" w:cs="宋体"/>
          <w:sz w:val="24"/>
          <w:szCs w:val="22"/>
          <w:lang w:val="en-US"/>
        </w:rPr>
      </w:pPr>
      <w:r>
        <w:rPr>
          <w:rFonts w:hint="eastAsia" w:ascii="宋体" w:hAnsi="宋体" w:eastAsia="宋体" w:cs="宋体"/>
          <w:kern w:val="2"/>
          <w:sz w:val="24"/>
          <w:szCs w:val="22"/>
          <w:lang w:val="en-US" w:eastAsia="zh-CN" w:bidi="ar"/>
        </w:rPr>
        <w:t xml:space="preserve">注：1.表格一式二份，一份交教务处，一份实习学校存档。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宋体" w:hAnsi="宋体" w:eastAsia="宋体" w:cs="宋体"/>
          <w:kern w:val="2"/>
          <w:sz w:val="24"/>
          <w:szCs w:val="22"/>
          <w:lang w:val="en-US" w:eastAsia="zh-CN" w:bidi="ar"/>
        </w:rPr>
        <w:t xml:space="preserve">    2.推荐理由参照评选条件填报，可另外加页。</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28"/>
          <w:szCs w:val="28"/>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表2</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sz w:val="36"/>
          <w:szCs w:val="36"/>
          <w:lang w:val="en-US"/>
        </w:rPr>
      </w:pPr>
      <w:r>
        <w:rPr>
          <w:rFonts w:hint="eastAsia" w:ascii="黑体" w:hAnsi="宋体" w:eastAsia="黑体" w:cs="黑体"/>
          <w:kern w:val="2"/>
          <w:sz w:val="32"/>
          <w:szCs w:val="32"/>
          <w:lang w:val="en-US" w:eastAsia="zh-CN" w:bidi="ar"/>
        </w:rPr>
        <w:t>宜春学院教育实习优秀实习生推荐表</w:t>
      </w:r>
    </w:p>
    <w:tbl>
      <w:tblPr>
        <w:tblStyle w:val="9"/>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011"/>
        <w:gridCol w:w="711"/>
        <w:gridCol w:w="1629"/>
        <w:gridCol w:w="305"/>
        <w:gridCol w:w="719"/>
        <w:gridCol w:w="1218"/>
        <w:gridCol w:w="1117"/>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9" w:hRule="atLeast"/>
          <w:jc w:val="center"/>
        </w:trPr>
        <w:tc>
          <w:tcPr>
            <w:tcW w:w="172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姓名</w:t>
            </w:r>
          </w:p>
        </w:tc>
        <w:tc>
          <w:tcPr>
            <w:tcW w:w="193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c>
          <w:tcPr>
            <w:tcW w:w="719" w:type="dxa"/>
            <w:tcBorders>
              <w:top w:val="single" w:color="auto" w:sz="4" w:space="0"/>
              <w:left w:val="single" w:color="auto" w:sz="4" w:space="0"/>
              <w:bottom w:val="single" w:color="auto" w:sz="4" w:space="0"/>
              <w:right w:val="single" w:color="auto" w:sz="2"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学号</w:t>
            </w:r>
          </w:p>
        </w:tc>
        <w:tc>
          <w:tcPr>
            <w:tcW w:w="1218" w:type="dxa"/>
            <w:tcBorders>
              <w:top w:val="single" w:color="auto" w:sz="4" w:space="0"/>
              <w:left w:val="single" w:color="auto" w:sz="2" w:space="0"/>
              <w:bottom w:val="single" w:color="auto" w:sz="4" w:space="0"/>
              <w:right w:val="single" w:color="auto" w:sz="2"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c>
          <w:tcPr>
            <w:tcW w:w="1117" w:type="dxa"/>
            <w:tcBorders>
              <w:top w:val="single" w:color="auto" w:sz="4" w:space="0"/>
              <w:left w:val="single" w:color="auto" w:sz="2"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年级</w:t>
            </w:r>
          </w:p>
        </w:tc>
        <w:tc>
          <w:tcPr>
            <w:tcW w:w="18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72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学院及专业</w:t>
            </w:r>
          </w:p>
        </w:tc>
        <w:tc>
          <w:tcPr>
            <w:tcW w:w="265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c>
          <w:tcPr>
            <w:tcW w:w="12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实习单位</w:t>
            </w:r>
          </w:p>
        </w:tc>
        <w:tc>
          <w:tcPr>
            <w:tcW w:w="293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72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实习所在班级</w:t>
            </w:r>
          </w:p>
        </w:tc>
        <w:tc>
          <w:tcPr>
            <w:tcW w:w="193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c>
          <w:tcPr>
            <w:tcW w:w="4872"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实习时间：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351"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实习综合评定成绩</w:t>
            </w:r>
          </w:p>
        </w:tc>
        <w:tc>
          <w:tcPr>
            <w:tcW w:w="5177"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推荐</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理由</w:t>
            </w:r>
          </w:p>
        </w:tc>
        <w:tc>
          <w:tcPr>
            <w:tcW w:w="7517"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2"/>
                <w:bdr w:val="none" w:color="auto" w:sz="0" w:space="0"/>
                <w:lang w:val="en-US" w:eastAsia="zh-CN" w:bidi="ar"/>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指导   教师   意见</w:t>
            </w:r>
          </w:p>
        </w:tc>
        <w:tc>
          <w:tcPr>
            <w:tcW w:w="7517"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实习学校意见</w:t>
            </w:r>
          </w:p>
        </w:tc>
        <w:tc>
          <w:tcPr>
            <w:tcW w:w="7517"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 xml:space="preserve">               负责人签字（单位公章）：年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教学院   意见</w:t>
            </w:r>
          </w:p>
        </w:tc>
        <w:tc>
          <w:tcPr>
            <w:tcW w:w="7517"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 xml:space="preserve">              负责人签字（单位公章）：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学校</w:t>
            </w:r>
          </w:p>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4"/>
                <w:szCs w:val="22"/>
                <w:bdr w:val="none" w:color="auto" w:sz="0" w:space="0"/>
                <w:lang w:val="en-US" w:eastAsia="zh-CN" w:bidi="ar"/>
              </w:rPr>
              <w:t>意见</w:t>
            </w:r>
          </w:p>
        </w:tc>
        <w:tc>
          <w:tcPr>
            <w:tcW w:w="7517"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 xml:space="preserve">                          （签章）：            年   月   日</w:t>
            </w:r>
          </w:p>
        </w:tc>
      </w:tr>
    </w:tbl>
    <w:p>
      <w:pPr>
        <w:keepNext w:val="0"/>
        <w:keepLines w:val="0"/>
        <w:widowControl w:val="0"/>
        <w:suppressLineNumbers w:val="0"/>
        <w:spacing w:before="0" w:beforeAutospacing="0" w:after="0" w:afterAutospacing="0"/>
        <w:ind w:left="720" w:right="0" w:hanging="720" w:hangingChars="300"/>
        <w:jc w:val="both"/>
        <w:rPr>
          <w:rFonts w:hint="eastAsia" w:ascii="宋体" w:hAnsi="Calibri" w:eastAsia="宋体" w:cs="宋体"/>
          <w:sz w:val="24"/>
          <w:szCs w:val="22"/>
          <w:lang w:val="en-US"/>
        </w:rPr>
      </w:pPr>
      <w:r>
        <w:rPr>
          <w:rFonts w:hint="eastAsia" w:ascii="宋体" w:hAnsi="宋体" w:eastAsia="宋体" w:cs="宋体"/>
          <w:kern w:val="2"/>
          <w:sz w:val="24"/>
          <w:szCs w:val="22"/>
          <w:lang w:val="en-US" w:eastAsia="zh-CN" w:bidi="ar"/>
        </w:rPr>
        <w:t xml:space="preserve">注：1.表格一式三份，一份交教务处，一份留教学院存档，一份存入学生档案。   </w:t>
      </w:r>
    </w:p>
    <w:p>
      <w:pPr>
        <w:keepNext w:val="0"/>
        <w:keepLines w:val="0"/>
        <w:widowControl w:val="0"/>
        <w:suppressLineNumbers w:val="0"/>
        <w:spacing w:before="0" w:beforeAutospacing="0" w:after="0" w:afterAutospacing="0"/>
        <w:ind w:left="0" w:right="0" w:firstLine="480" w:firstLineChars="200"/>
        <w:jc w:val="both"/>
        <w:rPr>
          <w:rFonts w:hint="eastAsia" w:ascii="仿宋_GB2312" w:hAnsi="仿宋_GB2312" w:eastAsia="仿宋_GB2312" w:cs="仿宋_GB2312"/>
          <w:sz w:val="28"/>
          <w:szCs w:val="28"/>
          <w:lang w:val="en-US"/>
        </w:rPr>
      </w:pPr>
      <w:r>
        <w:rPr>
          <w:rFonts w:hint="eastAsia" w:ascii="宋体" w:hAnsi="宋体" w:eastAsia="宋体" w:cs="宋体"/>
          <w:kern w:val="2"/>
          <w:sz w:val="24"/>
          <w:szCs w:val="22"/>
          <w:lang w:val="en-US" w:eastAsia="zh-CN" w:bidi="ar"/>
        </w:rPr>
        <w:t>2.推荐理由参照评选条件填报，可另外加页。</w:t>
      </w:r>
    </w:p>
    <w:p>
      <w:pPr>
        <w:keepNext w:val="0"/>
        <w:keepLines w:val="0"/>
        <w:widowControl w:val="0"/>
        <w:suppressLineNumbers w:val="0"/>
        <w:spacing w:before="0" w:beforeAutospacing="0" w:after="0" w:afterAutospacing="0"/>
        <w:ind w:left="0" w:right="0"/>
        <w:jc w:val="both"/>
        <w:rPr>
          <w:rFonts w:hint="eastAsia" w:ascii="黑体" w:hAnsi="宋体" w:eastAsia="黑体" w:cs="黑体"/>
          <w:bCs/>
          <w:sz w:val="28"/>
          <w:szCs w:val="28"/>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bCs/>
          <w:sz w:val="28"/>
          <w:szCs w:val="28"/>
          <w:lang w:val="en-US"/>
        </w:rPr>
      </w:pPr>
      <w:r>
        <w:rPr>
          <w:rFonts w:hint="eastAsia" w:ascii="黑体" w:hAnsi="宋体" w:eastAsia="黑体" w:cs="黑体"/>
          <w:bCs/>
          <w:kern w:val="2"/>
          <w:sz w:val="28"/>
          <w:szCs w:val="28"/>
          <w:lang w:val="en-US" w:eastAsia="zh-CN" w:bidi="ar"/>
        </w:rPr>
        <w:t>表3</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bCs/>
          <w:kern w:val="2"/>
          <w:sz w:val="30"/>
          <w:szCs w:val="22"/>
          <w:lang w:val="en-US" w:eastAsia="zh-CN" w:bidi="ar"/>
        </w:rPr>
        <w:t>宜春学院教育实习优秀实习生推荐汇总表</w:t>
      </w:r>
    </w:p>
    <w:p>
      <w:pPr>
        <w:keepNext w:val="0"/>
        <w:keepLines w:val="0"/>
        <w:widowControl w:val="0"/>
        <w:suppressLineNumbers w:val="0"/>
        <w:spacing w:before="0" w:beforeAutospacing="0" w:after="0" w:afterAutospacing="0"/>
        <w:ind w:left="0" w:right="0"/>
        <w:jc w:val="both"/>
        <w:rPr>
          <w:sz w:val="24"/>
          <w:szCs w:val="22"/>
          <w:lang w:val="en-US"/>
        </w:rPr>
      </w:pPr>
      <w:r>
        <w:rPr>
          <w:rFonts w:hint="default" w:ascii="Calibri" w:hAnsi="Calibri" w:eastAsia="宋体" w:cs="Times New Roman"/>
          <w:kern w:val="2"/>
          <w:sz w:val="24"/>
          <w:szCs w:val="22"/>
          <w:lang w:val="en-US" w:eastAsia="zh-CN" w:bidi="ar"/>
        </w:rPr>
        <w:t>__________________</w:t>
      </w:r>
      <w:r>
        <w:rPr>
          <w:rFonts w:hint="eastAsia" w:ascii="Calibri" w:hAnsi="Calibri" w:eastAsia="宋体" w:cs="宋体"/>
          <w:kern w:val="2"/>
          <w:sz w:val="24"/>
          <w:szCs w:val="22"/>
          <w:lang w:val="en-US" w:eastAsia="zh-CN" w:bidi="ar"/>
        </w:rPr>
        <w:t>学院</w:t>
      </w:r>
      <w:r>
        <w:rPr>
          <w:rFonts w:hint="default" w:ascii="Calibri" w:hAnsi="Calibri" w:eastAsia="宋体" w:cs="Times New Roman"/>
          <w:kern w:val="2"/>
          <w:sz w:val="24"/>
          <w:szCs w:val="22"/>
          <w:lang w:val="en-US" w:eastAsia="zh-CN" w:bidi="ar"/>
        </w:rPr>
        <w:t>(</w:t>
      </w:r>
      <w:r>
        <w:rPr>
          <w:rFonts w:hint="eastAsia" w:ascii="Calibri" w:hAnsi="Calibri" w:eastAsia="宋体" w:cs="宋体"/>
          <w:kern w:val="2"/>
          <w:sz w:val="24"/>
          <w:szCs w:val="22"/>
          <w:lang w:val="en-US" w:eastAsia="zh-CN" w:bidi="ar"/>
        </w:rPr>
        <w:t>盖章）</w:t>
      </w:r>
    </w:p>
    <w:tbl>
      <w:tblPr>
        <w:tblStyle w:val="9"/>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75"/>
        <w:gridCol w:w="992"/>
        <w:gridCol w:w="709"/>
        <w:gridCol w:w="1559"/>
        <w:gridCol w:w="1373"/>
        <w:gridCol w:w="167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2"/>
                <w:bdr w:val="none" w:color="auto" w:sz="0" w:space="0"/>
                <w:lang w:val="en-US"/>
              </w:rPr>
            </w:pPr>
            <w:r>
              <w:rPr>
                <w:rFonts w:hint="eastAsia" w:ascii="Calibri" w:hAnsi="Calibri" w:eastAsia="宋体" w:cs="宋体"/>
                <w:kern w:val="2"/>
                <w:sz w:val="24"/>
                <w:szCs w:val="22"/>
                <w:bdr w:val="none" w:color="auto" w:sz="0" w:space="0"/>
                <w:lang w:val="en-US" w:eastAsia="zh-CN" w:bidi="ar"/>
              </w:rPr>
              <w:t>序号</w:t>
            </w: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4"/>
                <w:szCs w:val="22"/>
                <w:bdr w:val="none" w:color="auto" w:sz="0" w:space="0"/>
                <w:lang w:val="en-US" w:eastAsia="zh-CN" w:bidi="ar"/>
              </w:rPr>
              <w:t>姓名</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4"/>
                <w:szCs w:val="22"/>
                <w:bdr w:val="none" w:color="auto" w:sz="0" w:space="0"/>
                <w:lang w:val="en-US" w:eastAsia="zh-CN" w:bidi="ar"/>
              </w:rPr>
              <w:t>性别</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4"/>
                <w:szCs w:val="22"/>
                <w:bdr w:val="none" w:color="auto" w:sz="0" w:space="0"/>
                <w:lang w:val="en-US" w:eastAsia="zh-CN" w:bidi="ar"/>
              </w:rPr>
              <w:t>专业</w:t>
            </w: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4"/>
                <w:szCs w:val="22"/>
                <w:bdr w:val="none" w:color="auto" w:sz="0" w:space="0"/>
                <w:lang w:val="en-US" w:eastAsia="zh-CN" w:bidi="ar"/>
              </w:rPr>
              <w:t>学号</w:t>
            </w: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4"/>
                <w:szCs w:val="22"/>
                <w:bdr w:val="none" w:color="auto" w:sz="0" w:space="0"/>
                <w:lang w:val="en-US" w:eastAsia="zh-CN" w:bidi="ar"/>
              </w:rPr>
              <w:t>实习单位</w:t>
            </w: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4"/>
                <w:szCs w:val="22"/>
                <w:bdr w:val="none" w:color="auto" w:sz="0" w:space="0"/>
                <w:lang w:val="en-US" w:eastAsia="zh-CN" w:bidi="ar"/>
              </w:rPr>
              <w:t>实习成绩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3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6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c>
          <w:tcPr>
            <w:tcW w:w="12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dr w:val="none" w:color="auto" w:sz="0" w:space="0"/>
                <w:lang w:val="en-US"/>
              </w:rPr>
            </w:pPr>
          </w:p>
        </w:tc>
      </w:tr>
    </w:tbl>
    <w:p>
      <w:pPr>
        <w:keepNext w:val="0"/>
        <w:keepLines w:val="0"/>
        <w:widowControl w:val="0"/>
        <w:suppressLineNumbers w:val="0"/>
        <w:spacing w:before="0" w:beforeAutospacing="0" w:after="0" w:afterAutospacing="0"/>
        <w:ind w:left="0" w:right="0"/>
        <w:jc w:val="both"/>
        <w:rPr>
          <w:sz w:val="24"/>
          <w:szCs w:val="22"/>
          <w:lang w:val="en-US"/>
        </w:rPr>
      </w:pPr>
      <w:r>
        <w:rPr>
          <w:rFonts w:hint="eastAsia" w:ascii="Calibri" w:hAnsi="Calibri" w:eastAsia="宋体" w:cs="宋体"/>
          <w:kern w:val="2"/>
          <w:sz w:val="24"/>
          <w:szCs w:val="22"/>
          <w:lang w:val="en-US" w:eastAsia="zh-CN" w:bidi="ar"/>
        </w:rPr>
        <w:t>分管领导（签名）：</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填表人：</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填表日期：</w:t>
      </w:r>
    </w:p>
    <w:p>
      <w:pPr>
        <w:keepNext w:val="0"/>
        <w:keepLines w:val="0"/>
        <w:widowControl w:val="0"/>
        <w:suppressLineNumbers w:val="0"/>
        <w:spacing w:before="0" w:beforeAutospacing="0" w:after="0" w:afterAutospacing="0"/>
        <w:ind w:left="0" w:right="0"/>
        <w:jc w:val="both"/>
        <w:rPr>
          <w:rFonts w:hint="eastAsia" w:ascii="宋体" w:hAnsi="Calibri" w:eastAsia="宋体" w:cs="宋体"/>
          <w:sz w:val="24"/>
          <w:szCs w:val="22"/>
          <w:lang w:val="en-US"/>
        </w:rPr>
      </w:pPr>
      <w:r>
        <w:rPr>
          <w:rFonts w:hint="eastAsia" w:ascii="Calibri" w:hAnsi="Calibri" w:eastAsia="宋体" w:cs="宋体"/>
          <w:kern w:val="2"/>
          <w:sz w:val="24"/>
          <w:szCs w:val="22"/>
          <w:lang w:val="en-US" w:eastAsia="zh-CN" w:bidi="ar"/>
        </w:rPr>
        <w:t>注：本表格一式二份，一份交教务处，一份学院存档。</w:t>
      </w:r>
    </w:p>
    <w:p>
      <w:pPr>
        <w:rPr>
          <w:rFonts w:hint="default" w:ascii="Calibri" w:hAnsi="Calibri" w:eastAsia="宋体" w:cs="Times New Roman"/>
          <w:kern w:val="2"/>
          <w:sz w:val="21"/>
          <w:szCs w:val="22"/>
          <w:lang w:val="en-US" w:eastAsia="zh-CN" w:bidi="ar"/>
        </w:rPr>
        <w:sectPr>
          <w:pgSz w:w="11906" w:h="16838"/>
          <w:pgMar w:top="1440" w:right="1797" w:bottom="1440" w:left="1797" w:header="851" w:footer="992" w:gutter="0"/>
          <w:paperSrc/>
          <w:pgNumType w:fmt="numberInDash"/>
          <w:cols w:space="425" w:num="1"/>
          <w:docGrid w:type="lines" w:linePitch="312" w:charSpace="0"/>
        </w:sectPr>
      </w:pPr>
    </w:p>
    <w:p>
      <w:pPr>
        <w:keepNext w:val="0"/>
        <w:keepLines w:val="0"/>
        <w:widowControl w:val="0"/>
        <w:suppressLineNumbers w:val="0"/>
        <w:spacing w:before="0" w:beforeAutospacing="0" w:after="0" w:afterAutospacing="0" w:line="240" w:lineRule="atLeast"/>
        <w:ind w:left="0" w:right="0"/>
        <w:jc w:val="both"/>
        <w:rPr>
          <w:rFonts w:hint="eastAsia" w:ascii="黑体" w:hAnsi="宋体" w:eastAsia="黑体" w:cs="黑体"/>
          <w:bCs/>
          <w:sz w:val="28"/>
          <w:szCs w:val="28"/>
          <w:lang w:val="en-US"/>
        </w:rPr>
      </w:pPr>
      <w:r>
        <w:rPr>
          <w:rFonts w:hint="eastAsia" w:ascii="黑体" w:hAnsi="宋体" w:eastAsia="黑体" w:cs="黑体"/>
          <w:bCs/>
          <w:kern w:val="2"/>
          <w:sz w:val="28"/>
          <w:szCs w:val="28"/>
          <w:lang w:val="en-US" w:eastAsia="zh-CN" w:bidi="ar"/>
        </w:rPr>
        <w:t>表4</w:t>
      </w:r>
    </w:p>
    <w:p>
      <w:pPr>
        <w:keepNext w:val="0"/>
        <w:keepLines w:val="0"/>
        <w:widowControl w:val="0"/>
        <w:suppressLineNumbers w:val="0"/>
        <w:spacing w:before="0" w:beforeAutospacing="0" w:after="0" w:afterAutospacing="0" w:line="240" w:lineRule="atLeas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宜春学院教育实习优秀校外实习指导教师汇总表</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Calibri" w:eastAsia="宋体" w:cs="宋体"/>
          <w:kern w:val="0"/>
          <w:sz w:val="24"/>
          <w:szCs w:val="22"/>
          <w:lang w:val="en-US"/>
        </w:rPr>
      </w:pPr>
      <w:r>
        <w:rPr>
          <w:rFonts w:hint="eastAsia" w:ascii="宋体" w:hAnsi="宋体" w:eastAsia="宋体" w:cs="宋体"/>
          <w:kern w:val="0"/>
          <w:sz w:val="24"/>
          <w:szCs w:val="22"/>
          <w:lang w:val="en-US" w:eastAsia="zh-CN" w:bidi="ar"/>
        </w:rPr>
        <w:t xml:space="preserve">实习单位（盖章）：　　　　　　　　       </w:t>
      </w:r>
    </w:p>
    <w:tbl>
      <w:tblPr>
        <w:tblStyle w:val="9"/>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6"/>
        <w:gridCol w:w="1154"/>
        <w:gridCol w:w="2520"/>
        <w:gridCol w:w="973"/>
        <w:gridCol w:w="1004"/>
        <w:gridCol w:w="1484"/>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7" w:hRule="atLeast"/>
        </w:trPr>
        <w:tc>
          <w:tcPr>
            <w:tcW w:w="8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r>
              <w:rPr>
                <w:rFonts w:hint="eastAsia" w:ascii="宋体" w:hAnsi="宋体" w:eastAsia="宋体" w:cs="宋体"/>
                <w:kern w:val="0"/>
                <w:sz w:val="22"/>
                <w:szCs w:val="22"/>
                <w:bdr w:val="none" w:color="auto" w:sz="0" w:space="0"/>
                <w:lang w:val="en-US" w:eastAsia="zh-CN" w:bidi="ar"/>
              </w:rPr>
              <w:t>序号</w:t>
            </w:r>
          </w:p>
        </w:tc>
        <w:tc>
          <w:tcPr>
            <w:tcW w:w="11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r>
              <w:rPr>
                <w:rFonts w:hint="eastAsia" w:ascii="宋体" w:hAnsi="宋体" w:eastAsia="宋体" w:cs="宋体"/>
                <w:kern w:val="0"/>
                <w:sz w:val="22"/>
                <w:szCs w:val="22"/>
                <w:bdr w:val="none" w:color="auto" w:sz="0" w:space="0"/>
                <w:lang w:val="en-US" w:eastAsia="zh-CN" w:bidi="ar"/>
              </w:rPr>
              <w:t>导师姓名</w:t>
            </w:r>
          </w:p>
        </w:tc>
        <w:tc>
          <w:tcPr>
            <w:tcW w:w="25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r>
              <w:rPr>
                <w:rFonts w:hint="eastAsia" w:ascii="宋体" w:hAnsi="宋体" w:eastAsia="宋体" w:cs="宋体"/>
                <w:kern w:val="0"/>
                <w:sz w:val="22"/>
                <w:szCs w:val="22"/>
                <w:bdr w:val="none" w:color="auto" w:sz="0" w:space="0"/>
                <w:lang w:val="en-US" w:eastAsia="zh-CN" w:bidi="ar"/>
              </w:rPr>
              <w:t>工作单位</w:t>
            </w:r>
          </w:p>
        </w:tc>
        <w:tc>
          <w:tcPr>
            <w:tcW w:w="9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0"/>
                <w:sz w:val="32"/>
                <w:szCs w:val="32"/>
                <w:bdr w:val="none" w:color="auto" w:sz="0" w:space="0"/>
                <w:lang w:val="en-US"/>
              </w:rPr>
            </w:pPr>
            <w:r>
              <w:rPr>
                <w:rFonts w:hint="eastAsia" w:ascii="宋体" w:hAnsi="宋体" w:eastAsia="宋体" w:cs="宋体"/>
                <w:kern w:val="0"/>
                <w:sz w:val="22"/>
                <w:szCs w:val="22"/>
                <w:bdr w:val="none" w:color="auto" w:sz="0" w:space="0"/>
                <w:lang w:val="en-US" w:eastAsia="zh-CN" w:bidi="ar"/>
              </w:rPr>
              <w:t>职称</w:t>
            </w: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0"/>
                <w:sz w:val="32"/>
                <w:szCs w:val="32"/>
                <w:bdr w:val="none" w:color="auto" w:sz="0" w:space="0"/>
                <w:lang w:val="en-US"/>
              </w:rPr>
            </w:pPr>
            <w:r>
              <w:rPr>
                <w:rFonts w:hint="eastAsia" w:ascii="宋体" w:hAnsi="宋体" w:eastAsia="宋体" w:cs="宋体"/>
                <w:kern w:val="0"/>
                <w:sz w:val="22"/>
                <w:szCs w:val="22"/>
                <w:bdr w:val="none" w:color="auto" w:sz="0" w:space="0"/>
                <w:lang w:val="en-US" w:eastAsia="zh-CN" w:bidi="ar"/>
              </w:rPr>
              <w:t>职务</w:t>
            </w:r>
          </w:p>
        </w:tc>
        <w:tc>
          <w:tcPr>
            <w:tcW w:w="14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0"/>
                <w:sz w:val="32"/>
                <w:szCs w:val="32"/>
                <w:bdr w:val="none" w:color="auto" w:sz="0" w:space="0"/>
                <w:lang w:val="en-US"/>
              </w:rPr>
            </w:pPr>
            <w:r>
              <w:rPr>
                <w:rFonts w:hint="eastAsia" w:ascii="宋体" w:hAnsi="宋体" w:eastAsia="宋体" w:cs="宋体"/>
                <w:kern w:val="0"/>
                <w:sz w:val="22"/>
                <w:szCs w:val="22"/>
                <w:bdr w:val="none" w:color="auto" w:sz="0" w:space="0"/>
                <w:lang w:val="en-US" w:eastAsia="zh-CN" w:bidi="ar"/>
              </w:rPr>
              <w:t>联系电话</w:t>
            </w:r>
          </w:p>
        </w:tc>
        <w:tc>
          <w:tcPr>
            <w:tcW w:w="7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0"/>
                <w:sz w:val="32"/>
                <w:szCs w:val="32"/>
                <w:bdr w:val="none" w:color="auto" w:sz="0" w:space="0"/>
                <w:lang w:val="en-US"/>
              </w:rPr>
            </w:pPr>
            <w:r>
              <w:rPr>
                <w:rFonts w:hint="eastAsia" w:ascii="宋体" w:hAnsi="宋体" w:eastAsia="宋体" w:cs="宋体"/>
                <w:kern w:val="0"/>
                <w:sz w:val="22"/>
                <w:szCs w:val="22"/>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1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25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9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00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148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c>
          <w:tcPr>
            <w:tcW w:w="72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32"/>
                <w:szCs w:val="32"/>
                <w:bdr w:val="none" w:color="auto" w:sz="0" w:space="0"/>
                <w:lang w:val="en-US"/>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0"/>
          <w:sz w:val="32"/>
          <w:szCs w:val="32"/>
          <w:lang w:val="en-US"/>
        </w:rPr>
      </w:pPr>
      <w:r>
        <w:rPr>
          <w:rFonts w:hint="eastAsia" w:ascii="宋体" w:hAnsi="宋体" w:eastAsia="宋体" w:cs="宋体"/>
          <w:kern w:val="0"/>
          <w:sz w:val="24"/>
          <w:szCs w:val="22"/>
          <w:lang w:val="en-US" w:eastAsia="zh-CN" w:bidi="ar"/>
        </w:rPr>
        <w:t>实习单位负责人（签名）：      填表人：           填表时间：   年   月   日</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b/>
          <w:bCs w:val="0"/>
          <w:kern w:val="1"/>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Calibri" w:eastAsia="宋体" w:cs="宋体"/>
          <w:sz w:val="24"/>
          <w:szCs w:val="22"/>
          <w:lang w:val="en-US"/>
        </w:rPr>
      </w:pPr>
      <w:r>
        <w:rPr>
          <w:rFonts w:hint="eastAsia" w:ascii="Calibri" w:hAnsi="Calibri" w:eastAsia="宋体" w:cs="宋体"/>
          <w:kern w:val="2"/>
          <w:sz w:val="24"/>
          <w:szCs w:val="22"/>
          <w:lang w:val="en-US" w:eastAsia="zh-CN" w:bidi="ar"/>
        </w:rPr>
        <w:t>注：本表格一式二份，一份交教务处，一份实习单位存档。</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b/>
          <w:bCs w:val="0"/>
          <w:kern w:val="1"/>
          <w:sz w:val="32"/>
          <w:szCs w:val="32"/>
          <w:lang w:val="en-US"/>
        </w:rPr>
      </w:pPr>
    </w:p>
    <w:p>
      <w:pPr>
        <w:pStyle w:val="14"/>
        <w:widowControl/>
        <w:spacing w:before="0" w:beforeAutospacing="0" w:after="0" w:afterAutospacing="0" w:line="240" w:lineRule="auto"/>
        <w:ind w:left="0" w:right="0"/>
        <w:rPr>
          <w:rFonts w:hint="eastAsia" w:ascii="宋体" w:hAnsi="Times New Roman" w:eastAsia="宋体" w:cs="宋体"/>
          <w:sz w:val="44"/>
          <w:szCs w:val="44"/>
          <w:lang w:val="en-US"/>
        </w:rPr>
      </w:pPr>
      <w:r>
        <w:rPr>
          <w:rFonts w:hint="eastAsia" w:ascii="仿宋" w:hAnsi="仿宋" w:eastAsia="仿宋" w:cs="Times New Roman"/>
          <w:b/>
          <w:sz w:val="32"/>
          <w:szCs w:val="32"/>
          <w:lang w:val="en-US" w:eastAsia="zh-CN" w:bidi="ar"/>
        </w:rPr>
        <w:br w:type="page"/>
      </w:r>
      <w:r>
        <w:rPr>
          <w:rFonts w:hint="eastAsia" w:ascii="宋体" w:hAnsi="宋体" w:eastAsia="宋体" w:cs="宋体"/>
          <w:sz w:val="44"/>
          <w:szCs w:val="44"/>
          <w:lang w:eastAsia="zh-CN"/>
        </w:rPr>
        <w:t>宜春学院大学生能力建设项目管理办法</w:t>
      </w:r>
    </w:p>
    <w:p>
      <w:pPr>
        <w:keepNext w:val="0"/>
        <w:keepLines w:val="0"/>
        <w:widowControl w:val="0"/>
        <w:suppressLineNumbers w:val="0"/>
        <w:adjustRightInd w:val="0"/>
        <w:spacing w:before="0" w:beforeAutospacing="0" w:after="0" w:afterAutospacing="0"/>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adjustRightInd w:val="0"/>
        <w:spacing w:before="0" w:beforeAutospacing="0" w:after="0" w:afterAutospacing="0"/>
        <w:ind w:left="0" w:right="0" w:firstLine="600" w:firstLineChars="200"/>
        <w:jc w:val="both"/>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大学生能力建设项目是面向大学生的群众性科技活动，旨在推动学校课程体系和教学内容的改革，激励大学生主动学习、拓展知识面，提高大学生实践能力和创新能力，培养大学生的专业能力和综合素质。为鼓励全校学生和教师参加大学生能力建设项目，规范项目组织管理，制定本管理办法。</w:t>
      </w:r>
    </w:p>
    <w:p>
      <w:pPr>
        <w:keepNext w:val="0"/>
        <w:keepLines w:val="0"/>
        <w:widowControl/>
        <w:suppressLineNumbers w:val="0"/>
        <w:adjustRightInd w:val="0"/>
        <w:spacing w:before="0" w:beforeAutospacing="0" w:after="0" w:afterAutospacing="0"/>
        <w:ind w:left="0" w:right="0"/>
        <w:jc w:val="center"/>
        <w:rPr>
          <w:rFonts w:hint="eastAsia" w:ascii="黑体" w:hAnsi="宋体" w:eastAsia="黑体" w:cs="仿宋_GB2312"/>
          <w:kern w:val="0"/>
          <w:sz w:val="30"/>
          <w:szCs w:val="30"/>
          <w:lang w:val="en-US"/>
        </w:rPr>
      </w:pPr>
      <w:r>
        <w:rPr>
          <w:rFonts w:hint="eastAsia" w:ascii="黑体" w:hAnsi="宋体" w:eastAsia="黑体" w:cs="仿宋_GB2312"/>
          <w:bCs/>
          <w:kern w:val="0"/>
          <w:sz w:val="30"/>
          <w:szCs w:val="30"/>
          <w:lang w:val="en-US" w:eastAsia="zh-CN" w:bidi="ar"/>
        </w:rPr>
        <w:t>第一章  范围和类别</w:t>
      </w:r>
    </w:p>
    <w:p>
      <w:pPr>
        <w:keepNext w:val="0"/>
        <w:keepLines w:val="0"/>
        <w:widowControl/>
        <w:suppressLineNumbers w:val="0"/>
        <w:adjustRightInd w:val="0"/>
        <w:spacing w:before="0" w:beforeAutospacing="0" w:after="0" w:afterAutospacing="0"/>
        <w:ind w:left="0" w:right="0" w:firstLine="602" w:firstLineChars="200"/>
        <w:jc w:val="left"/>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第一条  </w:t>
      </w:r>
      <w:r>
        <w:rPr>
          <w:rFonts w:hint="eastAsia" w:ascii="仿宋_GB2312" w:hAnsi="仿宋_GB2312" w:eastAsia="仿宋_GB2312" w:cs="仿宋_GB2312"/>
          <w:kern w:val="0"/>
          <w:sz w:val="30"/>
          <w:szCs w:val="30"/>
          <w:lang w:val="en-US" w:eastAsia="zh-CN" w:bidi="ar"/>
        </w:rPr>
        <w:t>本办法所指大学生能力建设项目包括：由国家、省有关主管部门及教育部教学指导委员会、企业或行业学会、学校、联合国教科文组织或其他国际学术团体组织的、在校大学生参加的常设性竞赛，竞赛形式分为团队赛和个人赛。</w:t>
      </w:r>
    </w:p>
    <w:p>
      <w:pPr>
        <w:keepNext w:val="0"/>
        <w:keepLines w:val="0"/>
        <w:widowControl/>
        <w:suppressLineNumbers w:val="0"/>
        <w:adjustRightInd w:val="0"/>
        <w:spacing w:before="0" w:beforeAutospacing="0" w:after="0" w:afterAutospacing="0"/>
        <w:ind w:left="0" w:right="0" w:firstLine="590" w:firstLineChars="196"/>
        <w:jc w:val="left"/>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第二条  </w:t>
      </w:r>
      <w:r>
        <w:rPr>
          <w:rFonts w:hint="eastAsia" w:ascii="仿宋_GB2312" w:hAnsi="仿宋_GB2312" w:eastAsia="仿宋_GB2312" w:cs="仿宋_GB2312"/>
          <w:kern w:val="0"/>
          <w:sz w:val="30"/>
          <w:szCs w:val="30"/>
          <w:lang w:val="en-US" w:eastAsia="zh-CN" w:bidi="ar"/>
        </w:rPr>
        <w:t>大学生能力建设项目分为国家级A、B、C类，省级A、B、C和校级七大类别。</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国家级A类：获奖证书上加盖了省级以上政府部门印章或者在证书上明确注明主办部门为省级以上政府部门的；</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国家级B类：获奖证书上加盖了相关专业的国家级专业指导委员会、教学指导委员会、行业协会（学会）的印章或者在证书上明确注明主办部门为国家级专业指导委员会、教学指导委员会、行业协会（学会）的；</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国家级C类：获奖证书上加盖了国家级专业指导委员会、教学指导委员会、行业协会（学会）的相关分会的印章或证书上明确注明主办部门为国家级专业指导委员会、教学指导委员会、行业协会（学会）的相关分会的；</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省级A类：获奖证书上加盖了省委宣传部、省教育厅、省科技厅、团省委等省级政府部门印章的省级大学生能力建设项目；</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省级B类：获奖证书上加盖了相关专业的省级专业指导委员会、行业协会（学会）印章的大学生能力建设项目；</w:t>
      </w:r>
    </w:p>
    <w:p>
      <w:pPr>
        <w:keepNext w:val="0"/>
        <w:keepLines w:val="0"/>
        <w:widowControl w:val="0"/>
        <w:suppressLineNumbers w:val="0"/>
        <w:spacing w:before="0" w:beforeAutospacing="0" w:after="0" w:afterAutospacing="0" w:line="560" w:lineRule="exact"/>
        <w:ind w:left="0" w:right="0" w:firstLine="600" w:firstLineChars="200"/>
        <w:jc w:val="left"/>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省级C类：由相关企业、行业等民间机构主办的区域性的大学生能力建设项目；</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校级竞赛：</w:t>
      </w:r>
      <w:r>
        <w:rPr>
          <w:rFonts w:hint="eastAsia" w:ascii="仿宋_GB2312" w:hAnsi="仿宋_GB2312" w:eastAsia="仿宋_GB2312" w:cs="仿宋_GB2312"/>
          <w:spacing w:val="-10"/>
          <w:kern w:val="2"/>
          <w:sz w:val="30"/>
          <w:szCs w:val="30"/>
          <w:lang w:val="en-US" w:eastAsia="zh-CN" w:bidi="ar"/>
        </w:rPr>
        <w:t>由学校职能部门、教学院主办的校院级大学生能力建设项目</w:t>
      </w:r>
      <w:r>
        <w:rPr>
          <w:rFonts w:hint="eastAsia" w:ascii="仿宋_GB2312" w:hAnsi="仿宋_GB2312" w:eastAsia="仿宋_GB2312" w:cs="仿宋_GB2312"/>
          <w:kern w:val="2"/>
          <w:sz w:val="30"/>
          <w:szCs w:val="30"/>
          <w:lang w:val="en-US" w:eastAsia="zh-CN" w:bidi="ar"/>
        </w:rPr>
        <w:t>。</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仿宋_GB2312" w:eastAsia="仿宋_GB2312" w:cs="仿宋_GB2312"/>
          <w:b/>
          <w:kern w:val="0"/>
          <w:sz w:val="30"/>
          <w:szCs w:val="30"/>
          <w:lang w:val="en-US"/>
        </w:rPr>
      </w:pPr>
      <w:r>
        <w:rPr>
          <w:rFonts w:hint="eastAsia" w:ascii="仿宋_GB2312" w:hAnsi="仿宋_GB2312" w:eastAsia="仿宋_GB2312" w:cs="仿宋_GB2312"/>
          <w:b/>
          <w:kern w:val="0"/>
          <w:sz w:val="30"/>
          <w:szCs w:val="30"/>
          <w:lang w:val="en-US" w:eastAsia="zh-CN" w:bidi="ar"/>
        </w:rPr>
        <w:t xml:space="preserve">第三条  </w:t>
      </w:r>
      <w:r>
        <w:rPr>
          <w:rFonts w:hint="eastAsia" w:ascii="仿宋_GB2312" w:hAnsi="仿宋_GB2312" w:eastAsia="仿宋_GB2312" w:cs="仿宋_GB2312"/>
          <w:kern w:val="0"/>
          <w:sz w:val="30"/>
          <w:szCs w:val="30"/>
          <w:lang w:val="en-US" w:eastAsia="zh-CN" w:bidi="ar"/>
        </w:rPr>
        <w:t>对于以上分类办法没有涵盖的项目或者不能明显界定的项目，参照以下办法进行分类：</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1.原则上入选中国高等教育学会公布的《中国高校创新人才培养暨学科竞赛评估结果》的确定为国家级B级以上级别；</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2.除由江西省美术家协会主办的美术类专业比赛认定为省级B类比赛外，其他类别的美术类专业比赛不予认定；由江西省书法家协会主办的书法类专业比赛认定为省级B类比赛外，其他类别的书法类专业比赛不予认定。</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3.省级以上大学生能力建设参照《宜春学院省级以上大学生能力建设项目分类一览表》（附件1），附件1之外的比赛由教务处遴选专家根据以上分类原则进行认定；校级竞赛由相关教学院或职能部门自行决定。</w:t>
      </w:r>
    </w:p>
    <w:p>
      <w:pPr>
        <w:keepNext w:val="0"/>
        <w:keepLines w:val="0"/>
        <w:widowControl/>
        <w:suppressLineNumbers w:val="0"/>
        <w:adjustRightInd w:val="0"/>
        <w:spacing w:before="0" w:beforeAutospacing="0" w:after="0" w:afterAutospacing="0"/>
        <w:ind w:left="0" w:right="0"/>
        <w:jc w:val="center"/>
        <w:rPr>
          <w:rFonts w:hint="eastAsia" w:ascii="黑体" w:hAnsi="宋体" w:eastAsia="黑体" w:cs="仿宋_GB2312"/>
          <w:bCs/>
          <w:kern w:val="0"/>
          <w:sz w:val="30"/>
          <w:szCs w:val="30"/>
          <w:lang w:val="en-US"/>
        </w:rPr>
      </w:pPr>
      <w:r>
        <w:rPr>
          <w:rFonts w:hint="eastAsia" w:ascii="黑体" w:hAnsi="宋体" w:eastAsia="黑体" w:cs="仿宋_GB2312"/>
          <w:bCs/>
          <w:kern w:val="0"/>
          <w:sz w:val="30"/>
          <w:szCs w:val="30"/>
          <w:lang w:val="en-US" w:eastAsia="zh-CN" w:bidi="ar"/>
        </w:rPr>
        <w:t>第二章  组织与管理</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仿宋_GB2312" w:eastAsia="仿宋_GB2312" w:cs="仿宋_GB2312"/>
          <w:spacing w:val="-4"/>
          <w:sz w:val="30"/>
          <w:szCs w:val="30"/>
          <w:lang w:val="en-US"/>
        </w:rPr>
      </w:pPr>
      <w:r>
        <w:rPr>
          <w:rFonts w:hint="eastAsia" w:ascii="仿宋_GB2312" w:hAnsi="仿宋_GB2312" w:eastAsia="仿宋_GB2312" w:cs="仿宋_GB2312"/>
          <w:b/>
          <w:kern w:val="2"/>
          <w:sz w:val="30"/>
          <w:szCs w:val="30"/>
          <w:lang w:val="en-US" w:eastAsia="zh-CN" w:bidi="ar"/>
        </w:rPr>
        <w:t xml:space="preserve">第四条  </w:t>
      </w:r>
      <w:r>
        <w:rPr>
          <w:rFonts w:hint="eastAsia" w:ascii="仿宋_GB2312" w:hAnsi="仿宋_GB2312" w:eastAsia="仿宋_GB2312" w:cs="仿宋_GB2312"/>
          <w:kern w:val="2"/>
          <w:sz w:val="30"/>
          <w:szCs w:val="30"/>
          <w:lang w:val="en-US" w:eastAsia="zh-CN" w:bidi="ar"/>
        </w:rPr>
        <w:t>大学生能力建设项目工作在分管教学的校领导的领导下进行，实行校院两</w:t>
      </w:r>
      <w:r>
        <w:rPr>
          <w:rFonts w:hint="eastAsia" w:ascii="仿宋_GB2312" w:hAnsi="仿宋_GB2312" w:eastAsia="仿宋_GB2312" w:cs="仿宋_GB2312"/>
          <w:spacing w:val="-4"/>
          <w:kern w:val="2"/>
          <w:sz w:val="30"/>
          <w:szCs w:val="30"/>
          <w:lang w:val="en-US" w:eastAsia="zh-CN" w:bidi="ar"/>
        </w:rPr>
        <w:t>级管理。</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仿宋_GB2312" w:eastAsia="仿宋_GB2312" w:cs="仿宋_GB2312"/>
          <w:spacing w:val="-4"/>
          <w:sz w:val="30"/>
          <w:szCs w:val="30"/>
          <w:lang w:val="en-US"/>
        </w:rPr>
      </w:pPr>
      <w:r>
        <w:rPr>
          <w:rFonts w:hint="eastAsia" w:ascii="仿宋_GB2312" w:hAnsi="仿宋_GB2312" w:eastAsia="仿宋_GB2312" w:cs="仿宋_GB2312"/>
          <w:b/>
          <w:kern w:val="2"/>
          <w:sz w:val="30"/>
          <w:szCs w:val="30"/>
          <w:lang w:val="en-US" w:eastAsia="zh-CN" w:bidi="ar"/>
        </w:rPr>
        <w:t xml:space="preserve">第五条  </w:t>
      </w:r>
      <w:r>
        <w:rPr>
          <w:rFonts w:hint="eastAsia" w:ascii="仿宋_GB2312" w:hAnsi="仿宋_GB2312" w:eastAsia="仿宋_GB2312" w:cs="仿宋_GB2312"/>
          <w:kern w:val="2"/>
          <w:sz w:val="30"/>
          <w:szCs w:val="30"/>
          <w:lang w:val="en-US" w:eastAsia="zh-CN" w:bidi="ar"/>
        </w:rPr>
        <w:t>教务处负责宏观管理、指导和协调工作，具体包括：公布各类大学生能力建设项目计划、相关信息，组织项目申请立项，明确项目实施单位，审核项目所需经费，</w:t>
      </w:r>
      <w:r>
        <w:rPr>
          <w:rFonts w:hint="eastAsia" w:ascii="仿宋_GB2312" w:hAnsi="仿宋_GB2312" w:eastAsia="仿宋_GB2312" w:cs="仿宋_GB2312"/>
          <w:spacing w:val="-4"/>
          <w:kern w:val="2"/>
          <w:sz w:val="30"/>
          <w:szCs w:val="30"/>
          <w:lang w:val="en-US" w:eastAsia="zh-CN" w:bidi="ar"/>
        </w:rPr>
        <w:t>以及收集、整理、归档项目相关的档案资料等。</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b/>
          <w:kern w:val="2"/>
          <w:sz w:val="30"/>
          <w:szCs w:val="30"/>
          <w:lang w:val="en-US" w:eastAsia="zh-CN" w:bidi="ar"/>
        </w:rPr>
        <w:t xml:space="preserve">第六条  </w:t>
      </w:r>
      <w:r>
        <w:rPr>
          <w:rFonts w:hint="eastAsia" w:ascii="仿宋_GB2312" w:hAnsi="仿宋_GB2312" w:eastAsia="仿宋_GB2312" w:cs="仿宋_GB2312"/>
          <w:kern w:val="2"/>
          <w:sz w:val="30"/>
          <w:szCs w:val="30"/>
          <w:lang w:val="en-US" w:eastAsia="zh-CN" w:bidi="ar"/>
        </w:rPr>
        <w:t>教学院负责具体实施和管理工作，具体包括：负责相关能力建设项目的申报、项目实施所需的培训指导、参赛等具体工作以及项目结束后，及时按规定审核签批相关经费报账并将书面总结及相关材料报送教务处等。</w:t>
      </w:r>
    </w:p>
    <w:p>
      <w:pPr>
        <w:keepNext w:val="0"/>
        <w:keepLines w:val="0"/>
        <w:widowControl/>
        <w:suppressLineNumbers w:val="0"/>
        <w:adjustRightInd w:val="0"/>
        <w:spacing w:before="0" w:beforeAutospacing="0" w:after="0" w:afterAutospacing="0"/>
        <w:ind w:left="0" w:right="0"/>
        <w:jc w:val="center"/>
        <w:rPr>
          <w:rFonts w:hint="eastAsia" w:ascii="黑体" w:hAnsi="宋体" w:eastAsia="黑体" w:cs="仿宋_GB2312"/>
          <w:bCs/>
          <w:kern w:val="0"/>
          <w:sz w:val="30"/>
          <w:szCs w:val="30"/>
          <w:lang w:val="en-US"/>
        </w:rPr>
      </w:pPr>
      <w:r>
        <w:rPr>
          <w:rFonts w:hint="eastAsia" w:ascii="黑体" w:hAnsi="宋体" w:eastAsia="黑体" w:cs="仿宋_GB2312"/>
          <w:bCs/>
          <w:kern w:val="0"/>
          <w:sz w:val="30"/>
          <w:szCs w:val="30"/>
          <w:lang w:val="en-US" w:eastAsia="zh-CN" w:bidi="ar"/>
        </w:rPr>
        <w:t>第三章  过程和经费管理</w:t>
      </w:r>
    </w:p>
    <w:p>
      <w:pPr>
        <w:keepNext w:val="0"/>
        <w:keepLines w:val="0"/>
        <w:widowControl/>
        <w:suppressLineNumbers w:val="0"/>
        <w:adjustRightInd w:val="0"/>
        <w:spacing w:before="0" w:beforeAutospacing="0" w:after="0" w:afterAutospacing="0"/>
        <w:ind w:left="0" w:right="0" w:firstLine="602" w:firstLineChars="200"/>
        <w:jc w:val="left"/>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第七条  </w:t>
      </w:r>
      <w:r>
        <w:rPr>
          <w:rFonts w:hint="eastAsia" w:ascii="仿宋_GB2312" w:hAnsi="仿宋_GB2312" w:eastAsia="仿宋_GB2312" w:cs="仿宋_GB2312"/>
          <w:kern w:val="0"/>
          <w:sz w:val="30"/>
          <w:szCs w:val="30"/>
          <w:lang w:val="en-US" w:eastAsia="zh-CN" w:bidi="ar"/>
        </w:rPr>
        <w:t>教务处会提前下发下一年的大学生能力建设项目申报通知，各教学院根据通知要求进行项目申报，每一个项目需填写《宜春学院大学生能力建设项目申报表》（附件2），以教学院为单位报至教务处实践教学管理科。</w:t>
      </w:r>
    </w:p>
    <w:p>
      <w:pPr>
        <w:keepNext w:val="0"/>
        <w:keepLines w:val="0"/>
        <w:widowControl/>
        <w:suppressLineNumbers w:val="0"/>
        <w:adjustRightInd w:val="0"/>
        <w:spacing w:before="0" w:beforeAutospacing="0" w:after="0" w:afterAutospacing="0"/>
        <w:ind w:left="0" w:right="0" w:firstLine="602" w:firstLineChars="200"/>
        <w:jc w:val="left"/>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第八条  </w:t>
      </w:r>
      <w:r>
        <w:rPr>
          <w:rFonts w:hint="eastAsia" w:ascii="仿宋_GB2312" w:hAnsi="仿宋_GB2312" w:eastAsia="仿宋_GB2312" w:cs="仿宋_GB2312"/>
          <w:kern w:val="0"/>
          <w:sz w:val="30"/>
          <w:szCs w:val="30"/>
          <w:lang w:val="en-US" w:eastAsia="zh-CN" w:bidi="ar"/>
        </w:rPr>
        <w:t>教务处组织专家对各教学院申报的项目进行评审，并将评审结果上报学校，经学校审批通过后方可按实施方案执行，否则不予奖励。</w:t>
      </w:r>
    </w:p>
    <w:p>
      <w:pPr>
        <w:keepNext w:val="0"/>
        <w:keepLines w:val="0"/>
        <w:widowControl/>
        <w:suppressLineNumbers w:val="0"/>
        <w:adjustRightInd w:val="0"/>
        <w:spacing w:before="0" w:beforeAutospacing="0" w:after="0" w:afterAutospacing="0"/>
        <w:ind w:left="0" w:right="0" w:firstLine="590" w:firstLineChars="196"/>
        <w:jc w:val="left"/>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第九条  </w:t>
      </w:r>
      <w:r>
        <w:rPr>
          <w:rFonts w:hint="eastAsia" w:ascii="仿宋_GB2312" w:hAnsi="仿宋_GB2312" w:eastAsia="仿宋_GB2312" w:cs="仿宋_GB2312"/>
          <w:kern w:val="0"/>
          <w:sz w:val="30"/>
          <w:szCs w:val="30"/>
          <w:lang w:val="en-US" w:eastAsia="zh-CN" w:bidi="ar"/>
        </w:rPr>
        <w:t>项目审批后因不可抗拒的原因不能参加或完成项目时，应及时上报学校，经核实后，办理停赛手续，终止竞赛项目。</w:t>
      </w:r>
    </w:p>
    <w:p>
      <w:pPr>
        <w:keepNext w:val="0"/>
        <w:keepLines w:val="0"/>
        <w:widowControl/>
        <w:suppressLineNumbers w:val="0"/>
        <w:adjustRightInd w:val="0"/>
        <w:spacing w:before="0" w:beforeAutospacing="0" w:after="0" w:afterAutospacing="0"/>
        <w:ind w:left="0" w:right="0" w:firstLine="602" w:firstLineChars="200"/>
        <w:jc w:val="left"/>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第十条  </w:t>
      </w:r>
      <w:r>
        <w:rPr>
          <w:rFonts w:hint="eastAsia" w:ascii="仿宋_GB2312" w:hAnsi="仿宋_GB2312" w:eastAsia="仿宋_GB2312" w:cs="仿宋_GB2312"/>
          <w:kern w:val="0"/>
          <w:sz w:val="30"/>
          <w:szCs w:val="30"/>
          <w:lang w:val="en-US" w:eastAsia="zh-CN" w:bidi="ar"/>
        </w:rPr>
        <w:t>项目结束后要认真总结，并将总结材料报教务处实践教学管理科。总结材料具体内容见附件3。</w:t>
      </w:r>
    </w:p>
    <w:p>
      <w:pPr>
        <w:keepNext w:val="0"/>
        <w:keepLines w:val="0"/>
        <w:widowControl/>
        <w:suppressLineNumbers w:val="0"/>
        <w:adjustRightInd w:val="0"/>
        <w:spacing w:before="0" w:beforeAutospacing="0" w:after="0" w:afterAutospacing="0"/>
        <w:ind w:left="0" w:right="0" w:firstLine="602" w:firstLineChars="200"/>
        <w:jc w:val="left"/>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第十一条  </w:t>
      </w:r>
      <w:r>
        <w:rPr>
          <w:rFonts w:hint="eastAsia" w:ascii="仿宋_GB2312" w:hAnsi="仿宋_GB2312" w:eastAsia="仿宋_GB2312" w:cs="仿宋_GB2312"/>
          <w:kern w:val="0"/>
          <w:sz w:val="30"/>
          <w:szCs w:val="30"/>
          <w:lang w:val="en-US" w:eastAsia="zh-CN" w:bidi="ar"/>
        </w:rPr>
        <w:t>学校鼓励各学院组织学生参与各级各类大学生能力建设项目，并对省级B类以上的竞赛项目设立专项经费予以支持，省级C类以下的竞赛项目根据学校总体预算适当给予资助。</w:t>
      </w:r>
    </w:p>
    <w:p>
      <w:pPr>
        <w:keepNext w:val="0"/>
        <w:keepLines w:val="0"/>
        <w:widowControl/>
        <w:suppressLineNumbers w:val="0"/>
        <w:adjustRightInd w:val="0"/>
        <w:spacing w:before="0" w:beforeAutospacing="0" w:after="0" w:afterAutospacing="0"/>
        <w:ind w:left="0" w:right="0" w:firstLine="602" w:firstLineChars="200"/>
        <w:jc w:val="left"/>
        <w:rPr>
          <w:rFonts w:hint="eastAsia" w:ascii="仿宋_GB2312" w:hAnsi="仿宋_GB2312" w:eastAsia="仿宋_GB2312" w:cs="仿宋_GB2312"/>
          <w:sz w:val="30"/>
          <w:szCs w:val="30"/>
          <w:lang w:val="en-US"/>
        </w:rPr>
      </w:pPr>
      <w:r>
        <w:rPr>
          <w:rFonts w:hint="eastAsia" w:ascii="仿宋_GB2312" w:hAnsi="仿宋_GB2312" w:eastAsia="仿宋_GB2312" w:cs="仿宋_GB2312"/>
          <w:b/>
          <w:kern w:val="0"/>
          <w:sz w:val="30"/>
          <w:szCs w:val="30"/>
          <w:lang w:val="en-US" w:eastAsia="zh-CN" w:bidi="ar"/>
        </w:rPr>
        <w:t xml:space="preserve">第十二条  </w:t>
      </w:r>
      <w:r>
        <w:rPr>
          <w:rFonts w:hint="eastAsia" w:ascii="仿宋_GB2312" w:hAnsi="仿宋_GB2312" w:eastAsia="仿宋_GB2312" w:cs="仿宋_GB2312"/>
          <w:kern w:val="0"/>
          <w:sz w:val="30"/>
          <w:szCs w:val="30"/>
          <w:lang w:val="en-US" w:eastAsia="zh-CN" w:bidi="ar"/>
        </w:rPr>
        <w:t>项目经费采用项目制管理，但必须严格按照学校要求提出预算。经费主要用于</w:t>
      </w:r>
      <w:r>
        <w:rPr>
          <w:rFonts w:hint="eastAsia" w:ascii="仿宋_GB2312" w:hAnsi="仿宋_GB2312" w:eastAsia="仿宋_GB2312" w:cs="仿宋_GB2312"/>
          <w:kern w:val="2"/>
          <w:sz w:val="30"/>
          <w:szCs w:val="30"/>
          <w:lang w:val="en-US" w:eastAsia="zh-CN" w:bidi="ar"/>
        </w:rPr>
        <w:t>项目相关的差旅费、参赛报名费、资料材料费、咨询评审费、学生伙食补贴、获奖团队奖励费等开支。</w:t>
      </w:r>
    </w:p>
    <w:p>
      <w:pPr>
        <w:pStyle w:val="8"/>
        <w:widowControl/>
        <w:spacing w:before="0" w:beforeAutospacing="0" w:after="0" w:afterAutospacing="0"/>
        <w:ind w:left="0" w:right="0" w:firstLine="602"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b/>
          <w:sz w:val="30"/>
          <w:szCs w:val="30"/>
          <w:lang w:eastAsia="zh-CN"/>
        </w:rPr>
        <w:t>第十三条</w:t>
      </w:r>
      <w:r>
        <w:rPr>
          <w:rFonts w:hint="eastAsia" w:ascii="仿宋_GB2312" w:hAnsi="仿宋_GB2312" w:eastAsia="仿宋_GB2312" w:cs="仿宋_GB2312"/>
          <w:b/>
          <w:sz w:val="30"/>
          <w:szCs w:val="30"/>
          <w:lang w:val="en-US"/>
        </w:rPr>
        <w:t xml:space="preserve">  </w:t>
      </w:r>
      <w:r>
        <w:rPr>
          <w:rStyle w:val="11"/>
          <w:rFonts w:hint="eastAsia" w:ascii="仿宋_GB2312" w:hAnsi="仿宋_GB2312" w:eastAsia="仿宋_GB2312" w:cs="仿宋_GB2312"/>
          <w:sz w:val="30"/>
          <w:szCs w:val="30"/>
          <w:lang w:eastAsia="zh-CN"/>
        </w:rPr>
        <w:t>经费报销程序</w:t>
      </w:r>
    </w:p>
    <w:p>
      <w:pPr>
        <w:pStyle w:val="8"/>
        <w:widowControl/>
        <w:spacing w:before="0" w:beforeAutospacing="0" w:after="0" w:afterAutospacing="0"/>
        <w:ind w:left="0" w:right="0" w:firstLine="480" w:firstLineChars="200"/>
        <w:rPr>
          <w:rFonts w:hint="eastAsia" w:ascii="仿宋_GB2312" w:hAnsi="仿宋_GB2312" w:eastAsia="仿宋_GB2312" w:cs="仿宋_GB2312"/>
          <w:b/>
          <w:sz w:val="30"/>
          <w:szCs w:val="30"/>
          <w:u w:val="single"/>
          <w:lang w:val="en-US"/>
        </w:rPr>
      </w:pPr>
      <w:r>
        <w:rPr>
          <w:lang w:eastAsia="zh-CN"/>
        </w:rPr>
        <mc:AlternateContent>
          <mc:Choice Requires="wps">
            <w:drawing>
              <wp:anchor distT="0" distB="0" distL="114300" distR="114300" simplePos="0" relativeHeight="251684864" behindDoc="0" locked="0" layoutInCell="1" allowOverlap="1">
                <wp:simplePos x="0" y="0"/>
                <wp:positionH relativeFrom="column">
                  <wp:posOffset>2124075</wp:posOffset>
                </wp:positionH>
                <wp:positionV relativeFrom="paragraph">
                  <wp:posOffset>1386840</wp:posOffset>
                </wp:positionV>
                <wp:extent cx="340995" cy="0"/>
                <wp:effectExtent l="0" t="50800" r="9525" b="55880"/>
                <wp:wrapNone/>
                <wp:docPr id="15" name="自选图形 48"/>
                <wp:cNvGraphicFramePr/>
                <a:graphic xmlns:a="http://schemas.openxmlformats.org/drawingml/2006/main">
                  <a:graphicData uri="http://schemas.microsoft.com/office/word/2010/wordprocessingShape">
                    <wps:wsp>
                      <wps:cNvCnPr/>
                      <wps:spPr>
                        <a:xfrm>
                          <a:off x="0" y="0"/>
                          <a:ext cx="340995"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48" o:spid="_x0000_s1026" o:spt="32" type="#_x0000_t32" style="position:absolute;left:0pt;margin-left:167.25pt;margin-top:109.2pt;height:0pt;width:26.85pt;z-index:251684864;mso-width-relative:page;mso-height-relative:page;" filled="f" stroked="t" coordsize="21600,21600" o:gfxdata="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VqRb1wAAAAsB&#10;AAAPAAAAAAAAAAEAIAAAACIAAABkcnMvZG93bnJldi54bWxQSwECFAAUAAAACACHTuJAbVPXD+MB&#10;AACiAwAADgAAAAAAAAABACAAAAAmAQAAZHJzL2Uyb0RvYy54bWxQSwUGAAAAAAYABgBZAQAAewUA&#10;A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83840" behindDoc="0" locked="0" layoutInCell="1" allowOverlap="1">
                <wp:simplePos x="0" y="0"/>
                <wp:positionH relativeFrom="column">
                  <wp:posOffset>3467100</wp:posOffset>
                </wp:positionH>
                <wp:positionV relativeFrom="paragraph">
                  <wp:posOffset>990600</wp:posOffset>
                </wp:positionV>
                <wp:extent cx="340995" cy="0"/>
                <wp:effectExtent l="0" t="50800" r="9525" b="55880"/>
                <wp:wrapNone/>
                <wp:docPr id="16" name="自选图形 49"/>
                <wp:cNvGraphicFramePr/>
                <a:graphic xmlns:a="http://schemas.openxmlformats.org/drawingml/2006/main">
                  <a:graphicData uri="http://schemas.microsoft.com/office/word/2010/wordprocessingShape">
                    <wps:wsp>
                      <wps:cNvCnPr/>
                      <wps:spPr>
                        <a:xfrm>
                          <a:off x="0" y="0"/>
                          <a:ext cx="340995"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49" o:spid="_x0000_s1026" o:spt="32" type="#_x0000_t32" style="position:absolute;left:0pt;margin-left:273pt;margin-top:78pt;height:0pt;width:26.85pt;z-index:251683840;mso-width-relative:page;mso-height-relative:page;" filled="f" stroked="t" coordsize="21600,21600" o:gfxdata="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0Gg29cAAAAL&#10;AQAADwAAAAAAAAABACAAAAAiAAAAZHJzL2Rvd25yZXYueG1sUEsBAhQAFAAAAAgAh07iQLzrJmLk&#10;AQAAogMAAA4AAAAAAAAAAQAgAAAAJgEAAGRycy9lMm9Eb2MueG1sUEsFBgAAAAAGAAYAWQEAAHwF&#10;AAA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82816" behindDoc="0" locked="0" layoutInCell="1" allowOverlap="1">
                <wp:simplePos x="0" y="0"/>
                <wp:positionH relativeFrom="column">
                  <wp:posOffset>2105025</wp:posOffset>
                </wp:positionH>
                <wp:positionV relativeFrom="paragraph">
                  <wp:posOffset>1000125</wp:posOffset>
                </wp:positionV>
                <wp:extent cx="340995" cy="0"/>
                <wp:effectExtent l="0" t="50800" r="9525" b="55880"/>
                <wp:wrapNone/>
                <wp:docPr id="17" name="自选图形 50"/>
                <wp:cNvGraphicFramePr/>
                <a:graphic xmlns:a="http://schemas.openxmlformats.org/drawingml/2006/main">
                  <a:graphicData uri="http://schemas.microsoft.com/office/word/2010/wordprocessingShape">
                    <wps:wsp>
                      <wps:cNvCnPr/>
                      <wps:spPr>
                        <a:xfrm>
                          <a:off x="0" y="0"/>
                          <a:ext cx="340995"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50" o:spid="_x0000_s1026" o:spt="32" type="#_x0000_t32" style="position:absolute;left:0pt;margin-left:165.75pt;margin-top:78.75pt;height:0pt;width:26.85pt;z-index:251682816;mso-width-relative:page;mso-height-relative:page;" filled="f" stroked="t" coordsize="21600,21600" o:gfxdata="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XZIbzWAAAACwEA&#10;AA8AAAAAAAAAAQAgAAAAIgAAAGRycy9kb3ducmV2LnhtbFBLAQIUABQAAAAIAIdO4kDgXWvy4wEA&#10;AKIDAAAOAAAAAAAAAAEAIAAAACUBAABkcnMvZTJvRG9jLnhtbFBLBQYAAAAABgAGAFkBAAB6BQAA&#10;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81792" behindDoc="0" locked="0" layoutInCell="1" allowOverlap="1">
                <wp:simplePos x="0" y="0"/>
                <wp:positionH relativeFrom="column">
                  <wp:posOffset>4371975</wp:posOffset>
                </wp:positionH>
                <wp:positionV relativeFrom="paragraph">
                  <wp:posOffset>603885</wp:posOffset>
                </wp:positionV>
                <wp:extent cx="340995" cy="0"/>
                <wp:effectExtent l="0" t="50800" r="9525" b="55880"/>
                <wp:wrapNone/>
                <wp:docPr id="18" name="自选图形 51"/>
                <wp:cNvGraphicFramePr/>
                <a:graphic xmlns:a="http://schemas.openxmlformats.org/drawingml/2006/main">
                  <a:graphicData uri="http://schemas.microsoft.com/office/word/2010/wordprocessingShape">
                    <wps:wsp>
                      <wps:cNvCnPr/>
                      <wps:spPr>
                        <a:xfrm>
                          <a:off x="0" y="0"/>
                          <a:ext cx="340995"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51" o:spid="_x0000_s1026" o:spt="32" type="#_x0000_t32" style="position:absolute;left:0pt;margin-left:344.25pt;margin-top:47.55pt;height:0pt;width:26.85pt;z-index:251681792;mso-width-relative:page;mso-height-relative:page;" filled="f" stroked="t" coordsize="21600,21600" o:gfxdata="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taexrWAAAACQEA&#10;AA8AAAAAAAAAAQAgAAAAIgAAAGRycy9kb3ducmV2LnhtbFBLAQIUABQAAAAIAIdO4kDd19OC4wEA&#10;AKIDAAAOAAAAAAAAAAEAIAAAACUBAABkcnMvZTJvRG9jLnhtbFBLBQYAAAAABgAGAFkBAAB6BQAA&#10;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80768" behindDoc="0" locked="0" layoutInCell="1" allowOverlap="1">
                <wp:simplePos x="0" y="0"/>
                <wp:positionH relativeFrom="column">
                  <wp:posOffset>2714625</wp:posOffset>
                </wp:positionH>
                <wp:positionV relativeFrom="paragraph">
                  <wp:posOffset>575310</wp:posOffset>
                </wp:positionV>
                <wp:extent cx="340995" cy="0"/>
                <wp:effectExtent l="0" t="50800" r="9525" b="55880"/>
                <wp:wrapNone/>
                <wp:docPr id="14" name="自选图形 52"/>
                <wp:cNvGraphicFramePr/>
                <a:graphic xmlns:a="http://schemas.openxmlformats.org/drawingml/2006/main">
                  <a:graphicData uri="http://schemas.microsoft.com/office/word/2010/wordprocessingShape">
                    <wps:wsp>
                      <wps:cNvCnPr/>
                      <wps:spPr>
                        <a:xfrm>
                          <a:off x="0" y="0"/>
                          <a:ext cx="340995"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52" o:spid="_x0000_s1026" o:spt="32" type="#_x0000_t32" style="position:absolute;left:0pt;margin-left:213.75pt;margin-top:45.3pt;height:0pt;width:26.85pt;z-index:251680768;mso-width-relative:page;mso-height-relative:page;" filled="f" stroked="t" coordsize="21600,21600" o:gfxdata="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ZM409cAAAAJ&#10;AQAADwAAAAAAAAABACAAAAAiAAAAZHJzL2Rvd25yZXYueG1sUEsBAhQAFAAAAAgAh07iQI/5fiDk&#10;AQAAogMAAA4AAAAAAAAAAQAgAAAAJgEAAGRycy9lMm9Eb2MueG1sUEsFBgAAAAAGAAYAWQEAAHwF&#10;AAA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79744" behindDoc="0" locked="0" layoutInCell="1" allowOverlap="1">
                <wp:simplePos x="0" y="0"/>
                <wp:positionH relativeFrom="column">
                  <wp:posOffset>1352550</wp:posOffset>
                </wp:positionH>
                <wp:positionV relativeFrom="paragraph">
                  <wp:posOffset>603885</wp:posOffset>
                </wp:positionV>
                <wp:extent cx="340995" cy="0"/>
                <wp:effectExtent l="0" t="50800" r="9525" b="55880"/>
                <wp:wrapNone/>
                <wp:docPr id="26" name="自选图形 53"/>
                <wp:cNvGraphicFramePr/>
                <a:graphic xmlns:a="http://schemas.openxmlformats.org/drawingml/2006/main">
                  <a:graphicData uri="http://schemas.microsoft.com/office/word/2010/wordprocessingShape">
                    <wps:wsp>
                      <wps:cNvCnPr/>
                      <wps:spPr>
                        <a:xfrm>
                          <a:off x="0" y="0"/>
                          <a:ext cx="340995" cy="0"/>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53" o:spid="_x0000_s1026" o:spt="32" type="#_x0000_t32" style="position:absolute;left:0pt;margin-left:106.5pt;margin-top:47.55pt;height:0pt;width:26.85pt;z-index:251679744;mso-width-relative:page;mso-height-relative:page;" filled="f" stroked="t" coordsize="21600,21600" o:gfxdata="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drw1gAAAAkB&#10;AAAPAAAAAAAAAAEAIAAAACIAAABkcnMvZG93bnJldi54bWxQSwECFAAUAAAACACHTuJAQL8lpeQB&#10;AACiAwAADgAAAAAAAAABACAAAAAlAQAAZHJzL2Uyb0RvYy54bWxQSwUGAAAAAAYABgBZAQAAewUA&#10;AAAA&#10;">
                <v:fill on="f" focussize="0,0"/>
                <v:stroke weight="1pt" color="#000000" joinstyle="miter" endarrow="open"/>
                <v:imagedata o:title=""/>
                <o:lock v:ext="edit" aspectratio="f"/>
              </v:shape>
            </w:pict>
          </mc:Fallback>
        </mc:AlternateContent>
      </w:r>
      <w:r>
        <w:rPr>
          <w:rFonts w:hint="eastAsia" w:ascii="仿宋_GB2312" w:hAnsi="仿宋_GB2312" w:eastAsia="仿宋_GB2312" w:cs="仿宋_GB2312"/>
          <w:sz w:val="30"/>
          <w:szCs w:val="30"/>
          <w:lang w:eastAsia="zh-CN"/>
        </w:rPr>
        <w:t>项目经费使用由所在学院负责监督管理，具体报销程序为：项目经费使用人签字</w:t>
      </w:r>
      <w:r>
        <w:rPr>
          <w:rFonts w:hint="eastAsia" w:ascii="仿宋_GB2312" w:hAnsi="仿宋_GB2312" w:eastAsia="仿宋_GB2312" w:cs="仿宋_GB2312"/>
          <w:sz w:val="30"/>
          <w:szCs w:val="30"/>
          <w:lang w:val="en-US"/>
        </w:rPr>
        <w:t xml:space="preserve">    </w:t>
      </w:r>
      <w:r>
        <w:rPr>
          <w:rFonts w:hint="eastAsia" w:ascii="仿宋_GB2312" w:hAnsi="仿宋_GB2312" w:eastAsia="仿宋_GB2312" w:cs="仿宋_GB2312"/>
          <w:sz w:val="30"/>
          <w:szCs w:val="30"/>
          <w:lang w:eastAsia="zh-CN"/>
        </w:rPr>
        <w:t>证明人签字</w:t>
      </w:r>
      <w:r>
        <w:rPr>
          <w:rFonts w:hint="eastAsia" w:ascii="仿宋_GB2312" w:hAnsi="仿宋_GB2312" w:eastAsia="仿宋_GB2312" w:cs="仿宋_GB2312"/>
          <w:sz w:val="30"/>
          <w:szCs w:val="30"/>
          <w:lang w:val="en-US"/>
        </w:rPr>
        <w:t xml:space="preserve">    </w:t>
      </w:r>
      <w:r>
        <w:rPr>
          <w:rFonts w:hint="eastAsia" w:ascii="仿宋_GB2312" w:hAnsi="仿宋_GB2312" w:eastAsia="仿宋_GB2312" w:cs="仿宋_GB2312"/>
          <w:sz w:val="30"/>
          <w:szCs w:val="30"/>
          <w:lang w:eastAsia="zh-CN"/>
        </w:rPr>
        <w:t>项目负责人签字</w:t>
      </w:r>
      <w:r>
        <w:rPr>
          <w:rFonts w:hint="eastAsia" w:ascii="仿宋_GB2312" w:hAnsi="仿宋_GB2312" w:eastAsia="仿宋_GB2312" w:cs="仿宋_GB2312"/>
          <w:sz w:val="30"/>
          <w:szCs w:val="30"/>
          <w:lang w:val="en-US"/>
        </w:rPr>
        <w:t xml:space="preserve">    </w:t>
      </w:r>
      <w:r>
        <w:rPr>
          <w:rFonts w:hint="eastAsia" w:ascii="仿宋_GB2312" w:hAnsi="仿宋_GB2312" w:eastAsia="仿宋_GB2312" w:cs="仿宋_GB2312"/>
          <w:sz w:val="30"/>
          <w:szCs w:val="30"/>
          <w:lang w:eastAsia="zh-CN"/>
        </w:rPr>
        <w:t>所在教学院审核，院领导签字同意</w:t>
      </w:r>
      <w:r>
        <w:rPr>
          <w:rFonts w:hint="eastAsia" w:ascii="仿宋_GB2312" w:hAnsi="仿宋_GB2312" w:eastAsia="仿宋_GB2312" w:cs="仿宋_GB2312"/>
          <w:sz w:val="30"/>
          <w:szCs w:val="30"/>
          <w:lang w:val="en-US"/>
        </w:rPr>
        <w:t xml:space="preserve">    </w:t>
      </w:r>
      <w:r>
        <w:rPr>
          <w:rFonts w:hint="eastAsia" w:ascii="仿宋_GB2312" w:hAnsi="仿宋_GB2312" w:eastAsia="仿宋_GB2312" w:cs="仿宋_GB2312"/>
          <w:sz w:val="30"/>
          <w:szCs w:val="30"/>
          <w:lang w:eastAsia="zh-CN"/>
        </w:rPr>
        <w:t>教务处登记</w:t>
      </w:r>
      <w:r>
        <w:rPr>
          <w:rFonts w:hint="eastAsia" w:ascii="仿宋_GB2312" w:hAnsi="仿宋_GB2312" w:eastAsia="仿宋_GB2312" w:cs="仿宋_GB2312"/>
          <w:sz w:val="30"/>
          <w:szCs w:val="30"/>
          <w:lang w:val="en-US"/>
        </w:rPr>
        <w:t xml:space="preserve">    </w:t>
      </w:r>
      <w:r>
        <w:rPr>
          <w:rFonts w:hint="eastAsia" w:ascii="仿宋_GB2312" w:hAnsi="仿宋_GB2312" w:eastAsia="仿宋_GB2312" w:cs="仿宋_GB2312"/>
          <w:sz w:val="30"/>
          <w:szCs w:val="30"/>
          <w:lang w:eastAsia="zh-CN"/>
        </w:rPr>
        <w:t>根据学校规定，大额经费支出需相关校领导签字</w:t>
      </w:r>
      <w:r>
        <w:rPr>
          <w:rFonts w:hint="eastAsia" w:ascii="仿宋_GB2312" w:hAnsi="仿宋_GB2312" w:eastAsia="仿宋_GB2312" w:cs="仿宋_GB2312"/>
          <w:sz w:val="30"/>
          <w:szCs w:val="30"/>
          <w:lang w:val="en-US"/>
        </w:rPr>
        <w:t xml:space="preserve">   </w:t>
      </w:r>
      <w:r>
        <w:rPr>
          <w:rFonts w:hint="eastAsia" w:ascii="仿宋_GB2312" w:hAnsi="仿宋_GB2312" w:eastAsia="仿宋_GB2312" w:cs="仿宋_GB2312"/>
          <w:sz w:val="30"/>
          <w:szCs w:val="30"/>
          <w:lang w:eastAsia="zh-CN"/>
        </w:rPr>
        <w:t>（参照学校有关规定执行）计财处办理报销手续。</w:t>
      </w:r>
    </w:p>
    <w:p>
      <w:pPr>
        <w:pStyle w:val="8"/>
        <w:widowControl/>
        <w:spacing w:before="0" w:beforeAutospacing="0" w:after="0" w:afterAutospacing="0"/>
        <w:ind w:left="0" w:right="0"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eastAsia="zh-CN"/>
        </w:rPr>
        <w:t>所有票据必须符合国家财务管理的有关规定。票据发生时间须在项目批准立项建设的时间内。</w:t>
      </w:r>
    </w:p>
    <w:p>
      <w:pPr>
        <w:pStyle w:val="8"/>
        <w:widowControl/>
        <w:spacing w:before="0" w:beforeAutospacing="0" w:after="0" w:afterAutospacing="0"/>
        <w:ind w:left="0" w:right="0" w:firstLine="744" w:firstLineChars="247"/>
        <w:rPr>
          <w:rFonts w:hint="eastAsia" w:ascii="仿宋_GB2312" w:hAnsi="仿宋_GB2312" w:eastAsia="仿宋_GB2312" w:cs="仿宋_GB2312"/>
          <w:sz w:val="30"/>
          <w:szCs w:val="30"/>
          <w:lang w:val="en-US"/>
        </w:rPr>
      </w:pPr>
      <w:r>
        <w:rPr>
          <w:rStyle w:val="11"/>
          <w:rFonts w:hint="eastAsia" w:ascii="仿宋_GB2312" w:hAnsi="仿宋_GB2312" w:eastAsia="仿宋_GB2312" w:cs="仿宋_GB2312"/>
          <w:sz w:val="30"/>
          <w:szCs w:val="30"/>
          <w:lang w:eastAsia="zh-CN"/>
        </w:rPr>
        <w:t>第十四条</w:t>
      </w:r>
      <w:r>
        <w:rPr>
          <w:rStyle w:val="11"/>
          <w:rFonts w:hint="eastAsia" w:ascii="仿宋_GB2312" w:hAnsi="仿宋_GB2312" w:eastAsia="仿宋_GB2312" w:cs="仿宋_GB2312"/>
          <w:sz w:val="30"/>
          <w:szCs w:val="30"/>
          <w:lang w:val="en-US"/>
        </w:rPr>
        <w:t xml:space="preserve">  </w:t>
      </w:r>
      <w:r>
        <w:rPr>
          <w:rStyle w:val="11"/>
          <w:rFonts w:hint="eastAsia" w:ascii="仿宋_GB2312" w:hAnsi="仿宋_GB2312" w:eastAsia="仿宋_GB2312" w:cs="仿宋_GB2312"/>
          <w:sz w:val="30"/>
          <w:szCs w:val="30"/>
          <w:lang w:eastAsia="zh-CN"/>
        </w:rPr>
        <w:t>经费使用办法</w:t>
      </w:r>
    </w:p>
    <w:p>
      <w:pPr>
        <w:pStyle w:val="8"/>
        <w:widowControl/>
        <w:spacing w:before="0" w:beforeAutospacing="0" w:after="0" w:afterAutospacing="0"/>
        <w:ind w:left="0" w:right="0"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eastAsia="zh-CN"/>
        </w:rPr>
        <w:t>项目经费实行专款专用，不得用于与项目无关的任何方面。具体规定如下：</w:t>
      </w:r>
    </w:p>
    <w:p>
      <w:pPr>
        <w:pStyle w:val="8"/>
        <w:widowControl/>
        <w:spacing w:before="0" w:beforeAutospacing="0" w:after="0" w:afterAutospacing="0"/>
        <w:ind w:left="0" w:right="0" w:firstLine="591" w:firstLineChars="197"/>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rPr>
        <w:t>1</w:t>
      </w:r>
      <w:r>
        <w:rPr>
          <w:rFonts w:hint="eastAsia" w:ascii="仿宋_GB2312" w:hAnsi="仿宋_GB2312" w:eastAsia="仿宋_GB2312" w:cs="仿宋_GB2312"/>
          <w:sz w:val="30"/>
          <w:szCs w:val="30"/>
          <w:lang w:eastAsia="zh-CN"/>
        </w:rPr>
        <w:t>）差旅费：相关工作会议、指导教师外出培训、竞赛期间师生参赛等产生的差旅费等。</w:t>
      </w:r>
    </w:p>
    <w:p>
      <w:pPr>
        <w:pStyle w:val="8"/>
        <w:widowControl/>
        <w:spacing w:before="0" w:beforeAutospacing="0" w:after="0" w:afterAutospacing="0"/>
        <w:ind w:left="0" w:right="0" w:firstLine="594" w:firstLineChars="198"/>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rPr>
        <w:t>2</w:t>
      </w:r>
      <w:r>
        <w:rPr>
          <w:rFonts w:hint="eastAsia" w:ascii="仿宋_GB2312" w:hAnsi="仿宋_GB2312" w:eastAsia="仿宋_GB2312" w:cs="仿宋_GB2312"/>
          <w:sz w:val="30"/>
          <w:szCs w:val="30"/>
          <w:lang w:eastAsia="zh-CN"/>
        </w:rPr>
        <w:t>）参赛报名费：按实际参赛学生数支付的报名费。</w:t>
      </w:r>
    </w:p>
    <w:p>
      <w:pPr>
        <w:pStyle w:val="8"/>
        <w:widowControl/>
        <w:spacing w:before="0" w:beforeAutospacing="0" w:after="0" w:afterAutospacing="0"/>
        <w:ind w:left="0" w:right="0" w:firstLine="594" w:firstLineChars="198"/>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rPr>
        <w:t>3</w:t>
      </w:r>
      <w:r>
        <w:rPr>
          <w:rFonts w:hint="eastAsia" w:ascii="仿宋_GB2312" w:hAnsi="仿宋_GB2312" w:eastAsia="仿宋_GB2312" w:cs="仿宋_GB2312"/>
          <w:sz w:val="30"/>
          <w:szCs w:val="30"/>
          <w:lang w:eastAsia="zh-CN"/>
        </w:rPr>
        <w:t>）资料材料费：用于项目实施过程中材料复印、打印、项目成果总结汇编和实验耗材等经费。</w:t>
      </w:r>
    </w:p>
    <w:p>
      <w:pPr>
        <w:pStyle w:val="8"/>
        <w:widowControl/>
        <w:spacing w:before="0" w:beforeAutospacing="0" w:after="0" w:afterAutospacing="0"/>
        <w:ind w:left="0" w:right="0" w:firstLine="594" w:firstLineChars="198"/>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rPr>
        <w:t>4</w:t>
      </w:r>
      <w:r>
        <w:rPr>
          <w:rFonts w:hint="eastAsia" w:ascii="仿宋_GB2312" w:hAnsi="仿宋_GB2312" w:eastAsia="仿宋_GB2312" w:cs="仿宋_GB2312"/>
          <w:sz w:val="30"/>
          <w:szCs w:val="30"/>
          <w:lang w:eastAsia="zh-CN"/>
        </w:rPr>
        <w:t>）咨询评审费：项目实施过程中的校内外专家咨询费、评审费。</w:t>
      </w:r>
    </w:p>
    <w:p>
      <w:pPr>
        <w:pStyle w:val="8"/>
        <w:widowControl/>
        <w:spacing w:before="0" w:beforeAutospacing="0" w:after="0" w:afterAutospacing="0"/>
        <w:ind w:left="0" w:right="0" w:firstLine="594" w:firstLineChars="198"/>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lang w:eastAsia="zh-CN"/>
        </w:rPr>
        <w:t>）学生伙食补贴：参赛学生到宜春以外的地区参赛所需的伙食补贴，以</w:t>
      </w:r>
      <w:r>
        <w:rPr>
          <w:rFonts w:hint="eastAsia" w:ascii="仿宋_GB2312" w:hAnsi="仿宋_GB2312" w:eastAsia="仿宋_GB2312" w:cs="仿宋_GB2312"/>
          <w:sz w:val="30"/>
          <w:szCs w:val="30"/>
          <w:lang w:val="en-US"/>
        </w:rPr>
        <w:t>50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lang w:eastAsia="zh-CN"/>
        </w:rPr>
        <w:t>天</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lang w:eastAsia="zh-CN"/>
        </w:rPr>
        <w:t>生补助给学生。</w:t>
      </w:r>
    </w:p>
    <w:p>
      <w:pPr>
        <w:keepNext w:val="0"/>
        <w:keepLines w:val="0"/>
        <w:widowControl/>
        <w:suppressLineNumbers w:val="0"/>
        <w:adjustRightInd w:val="0"/>
        <w:spacing w:before="0" w:beforeAutospacing="0" w:after="0" w:afterAutospacing="0"/>
        <w:ind w:left="0" w:right="0"/>
        <w:jc w:val="center"/>
        <w:rPr>
          <w:rFonts w:hint="eastAsia" w:ascii="黑体" w:hAnsi="宋体" w:eastAsia="黑体" w:cs="仿宋_GB2312"/>
          <w:bCs/>
          <w:kern w:val="0"/>
          <w:sz w:val="30"/>
          <w:szCs w:val="30"/>
          <w:lang w:val="en-US"/>
        </w:rPr>
      </w:pPr>
      <w:r>
        <w:rPr>
          <w:rFonts w:hint="eastAsia" w:ascii="黑体" w:hAnsi="宋体" w:eastAsia="黑体" w:cs="仿宋_GB2312"/>
          <w:bCs/>
          <w:kern w:val="0"/>
          <w:sz w:val="30"/>
          <w:szCs w:val="30"/>
          <w:lang w:val="en-US" w:eastAsia="zh-CN" w:bidi="ar"/>
        </w:rPr>
        <w:t>第四章  奖项设置及奖励办法</w:t>
      </w:r>
    </w:p>
    <w:p>
      <w:pPr>
        <w:keepNext w:val="0"/>
        <w:keepLines w:val="0"/>
        <w:widowControl/>
        <w:suppressLineNumbers w:val="0"/>
        <w:spacing w:before="0" w:beforeAutospacing="0" w:after="0" w:afterAutospacing="0"/>
        <w:ind w:left="0" w:right="0" w:firstLine="638" w:firstLineChars="212"/>
        <w:jc w:val="left"/>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第十五条  </w:t>
      </w:r>
      <w:r>
        <w:rPr>
          <w:rFonts w:hint="eastAsia" w:ascii="仿宋_GB2312" w:hAnsi="仿宋_GB2312" w:eastAsia="仿宋_GB2312" w:cs="仿宋_GB2312"/>
          <w:kern w:val="0"/>
          <w:sz w:val="30"/>
          <w:szCs w:val="30"/>
          <w:lang w:val="en-US" w:eastAsia="zh-CN" w:bidi="ar"/>
        </w:rPr>
        <w:t>除项目组织部门设立的奖项外，学校依据各项目校内赛的参赛项目数设立校级一、二、三等奖，另根据项目开展情况可设优秀指导教师奖。</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仿宋_GB2312" w:eastAsia="仿宋_GB2312" w:cs="仿宋_GB2312"/>
          <w:sz w:val="30"/>
          <w:szCs w:val="30"/>
          <w:highlight w:val="lightGray"/>
          <w:lang w:val="en-US"/>
        </w:rPr>
      </w:pPr>
      <w:r>
        <w:rPr>
          <w:rFonts w:hint="eastAsia" w:ascii="仿宋_GB2312" w:hAnsi="仿宋_GB2312" w:eastAsia="仿宋_GB2312" w:cs="仿宋_GB2312"/>
          <w:b/>
          <w:kern w:val="0"/>
          <w:sz w:val="30"/>
          <w:szCs w:val="30"/>
          <w:lang w:val="en-US" w:eastAsia="zh-CN" w:bidi="ar"/>
        </w:rPr>
        <w:t xml:space="preserve">第十六条  </w:t>
      </w:r>
      <w:r>
        <w:rPr>
          <w:rFonts w:hint="eastAsia" w:ascii="仿宋_GB2312" w:hAnsi="仿宋_GB2312" w:eastAsia="仿宋_GB2312" w:cs="仿宋_GB2312"/>
          <w:kern w:val="0"/>
          <w:sz w:val="30"/>
          <w:szCs w:val="30"/>
          <w:lang w:val="en-US" w:eastAsia="zh-CN" w:bidi="ar"/>
        </w:rPr>
        <w:t>参赛团队获奖除获得项目主办单位的奖励外，学校对获得省级B类以上奖励的学生参赛团队给予一定奖励，具体奖励标准见下表。</w:t>
      </w:r>
    </w:p>
    <w:p>
      <w:pPr>
        <w:keepNext w:val="0"/>
        <w:keepLines w:val="0"/>
        <w:widowControl w:val="0"/>
        <w:suppressLineNumbers w:val="0"/>
        <w:spacing w:before="0" w:beforeAutospacing="0" w:after="0" w:afterAutospacing="0"/>
        <w:ind w:left="0" w:right="0" w:firstLine="643" w:firstLineChars="200"/>
        <w:jc w:val="center"/>
        <w:rPr>
          <w:rFonts w:hint="eastAsia" w:ascii="宋体" w:hAnsi="宋体" w:eastAsia="宋体" w:cs="仿宋_GB2312"/>
          <w:b/>
          <w:sz w:val="32"/>
          <w:szCs w:val="32"/>
          <w:lang w:val="en-US"/>
        </w:rPr>
      </w:pPr>
      <w:r>
        <w:rPr>
          <w:rFonts w:hint="eastAsia" w:ascii="宋体" w:hAnsi="宋体" w:eastAsia="宋体" w:cs="仿宋_GB2312"/>
          <w:b/>
          <w:kern w:val="2"/>
          <w:sz w:val="32"/>
          <w:szCs w:val="32"/>
          <w:lang w:val="en-US" w:eastAsia="zh-CN" w:bidi="ar"/>
        </w:rPr>
        <w:t>奖励标准</w:t>
      </w:r>
    </w:p>
    <w:tbl>
      <w:tblPr>
        <w:tblStyle w:val="9"/>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20"/>
        <w:gridCol w:w="1601"/>
        <w:gridCol w:w="2773"/>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3" w:hRule="atLeast"/>
          <w:jc w:val="center"/>
        </w:trPr>
        <w:tc>
          <w:tcPr>
            <w:tcW w:w="15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类别</w:t>
            </w: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获奖级别</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集体奖励标准</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（元/队、组）</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1"/>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个人奖励标准</w:t>
            </w:r>
          </w:p>
          <w:p>
            <w:pPr>
              <w:keepNext w:val="0"/>
              <w:keepLines w:val="0"/>
              <w:widowControl w:val="0"/>
              <w:suppressLineNumbers w:val="0"/>
              <w:spacing w:before="0" w:beforeAutospacing="0" w:after="0" w:afterAutospacing="0"/>
              <w:ind w:left="0" w:right="0" w:firstLine="1"/>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国家级</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A类</w:t>
            </w: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20000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16000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10000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52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国家级</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B类</w:t>
            </w: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3000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2000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1200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国家级</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C类</w:t>
            </w: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1200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800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省级A类</w:t>
            </w: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1200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800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省级B类</w:t>
            </w: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400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52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6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27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200</w:t>
            </w:r>
          </w:p>
        </w:tc>
        <w:tc>
          <w:tcPr>
            <w:tcW w:w="2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100</w:t>
            </w:r>
          </w:p>
        </w:tc>
      </w:tr>
    </w:tbl>
    <w:p>
      <w:pPr>
        <w:keepNext w:val="0"/>
        <w:keepLines w:val="0"/>
        <w:widowControl w:val="0"/>
        <w:suppressLineNumbers w:val="0"/>
        <w:adjustRightInd w:val="0"/>
        <w:spacing w:before="0" w:beforeAutospacing="0" w:after="0" w:afterAutospacing="0"/>
        <w:ind w:left="0" w:right="0" w:firstLine="602"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第十七条  </w:t>
      </w:r>
      <w:r>
        <w:rPr>
          <w:rFonts w:hint="eastAsia" w:ascii="仿宋_GB2312" w:hAnsi="仿宋_GB2312" w:eastAsia="仿宋_GB2312" w:cs="仿宋_GB2312"/>
          <w:kern w:val="0"/>
          <w:sz w:val="30"/>
          <w:szCs w:val="30"/>
          <w:lang w:val="en-US" w:eastAsia="zh-CN" w:bidi="ar"/>
        </w:rPr>
        <w:t>教师指导学生参加省级以上学科竞赛获奖的奖励按照以下标准执行：</w:t>
      </w:r>
    </w:p>
    <w:tbl>
      <w:tblPr>
        <w:tblStyle w:val="9"/>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451"/>
        <w:gridCol w:w="1579"/>
        <w:gridCol w:w="2851"/>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3" w:hRule="atLeast"/>
          <w:jc w:val="center"/>
        </w:trPr>
        <w:tc>
          <w:tcPr>
            <w:tcW w:w="14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类别</w:t>
            </w: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获奖级别</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项目得分（集体）</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1"/>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项目得分（个人）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国家级</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A类</w:t>
            </w: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300</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200</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160</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45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国家级</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B类</w:t>
            </w: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40</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30</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20</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国家级</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C类</w:t>
            </w: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20</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12</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省级A类</w:t>
            </w: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20</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16</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12</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省级B类</w:t>
            </w: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12</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8</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45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2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4</w:t>
            </w:r>
          </w:p>
        </w:tc>
        <w:tc>
          <w:tcPr>
            <w:tcW w:w="2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w:t>
            </w:r>
          </w:p>
        </w:tc>
      </w:tr>
    </w:tbl>
    <w:p>
      <w:pPr>
        <w:keepNext w:val="0"/>
        <w:keepLines w:val="0"/>
        <w:widowControl w:val="0"/>
        <w:numPr>
          <w:ilvl w:val="0"/>
          <w:numId w:val="1"/>
        </w:numPr>
        <w:suppressLineNumbers w:val="0"/>
        <w:adjustRightInd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 xml:space="preserve"> 教师指导学生参赛，赛前将指导学生参赛的培训方案提交至教务处备案，教务处将根据参赛获奖情况给予一定的课时补助，具体补助标准如下表：</w:t>
      </w:r>
    </w:p>
    <w:tbl>
      <w:tblPr>
        <w:tblStyle w:val="9"/>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835"/>
        <w:gridCol w:w="282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3" w:hRule="atLeast"/>
          <w:jc w:val="center"/>
        </w:trPr>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类别</w:t>
            </w: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获奖最高级别</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sz w:val="30"/>
                <w:szCs w:val="30"/>
                <w:bdr w:val="none" w:color="auto" w:sz="0" w:space="0"/>
                <w:lang w:val="en-US"/>
              </w:rPr>
            </w:pPr>
            <w:r>
              <w:rPr>
                <w:rFonts w:hint="eastAsia" w:ascii="仿宋_GB2312" w:hAnsi="仿宋_GB2312" w:eastAsia="仿宋_GB2312" w:cs="仿宋_GB2312"/>
                <w:b/>
                <w:kern w:val="2"/>
                <w:sz w:val="30"/>
                <w:szCs w:val="30"/>
                <w:bdr w:val="none" w:color="auto" w:sz="0" w:space="0"/>
                <w:lang w:val="en-US" w:eastAsia="zh-CN" w:bidi="ar"/>
              </w:rPr>
              <w:t>补助课时数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83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国家级A类</w:t>
            </w: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283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国家级B类</w:t>
            </w: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83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国家级C类</w:t>
            </w: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83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省级A类</w:t>
            </w: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三等奖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83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省级B类</w:t>
            </w: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一等奖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8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二等奖</w:t>
            </w:r>
          </w:p>
        </w:tc>
        <w:tc>
          <w:tcPr>
            <w:tcW w:w="3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0"/>
                <w:szCs w:val="30"/>
                <w:bdr w:val="none" w:color="auto" w:sz="0" w:space="0"/>
                <w:lang w:val="en-US"/>
              </w:rPr>
            </w:pPr>
            <w:r>
              <w:rPr>
                <w:rFonts w:hint="eastAsia" w:ascii="仿宋_GB2312" w:hAnsi="仿宋_GB2312" w:eastAsia="仿宋_GB2312" w:cs="仿宋_GB2312"/>
                <w:kern w:val="2"/>
                <w:sz w:val="30"/>
                <w:szCs w:val="30"/>
                <w:bdr w:val="none" w:color="auto" w:sz="0" w:space="0"/>
                <w:lang w:val="en-US" w:eastAsia="zh-CN" w:bidi="ar"/>
              </w:rPr>
              <w:t>40</w:t>
            </w:r>
          </w:p>
        </w:tc>
      </w:tr>
    </w:tbl>
    <w:p>
      <w:pPr>
        <w:keepNext w:val="0"/>
        <w:keepLines w:val="0"/>
        <w:widowControl w:val="0"/>
        <w:suppressLineNumbers w:val="0"/>
        <w:adjustRightInd w:val="0"/>
        <w:spacing w:before="0" w:beforeAutospacing="0" w:after="0" w:afterAutospacing="0"/>
        <w:ind w:left="0" w:right="0" w:firstLine="602" w:firstLineChars="200"/>
        <w:jc w:val="both"/>
        <w:rPr>
          <w:rFonts w:hint="eastAsia" w:ascii="仿宋_GB2312" w:hAnsi="仿宋_GB2312" w:eastAsia="仿宋_GB2312" w:cs="仿宋_GB2312"/>
          <w:kern w:val="0"/>
          <w:sz w:val="30"/>
          <w:szCs w:val="30"/>
          <w:lang w:val="en-US"/>
        </w:rPr>
      </w:pPr>
      <w:r>
        <w:rPr>
          <w:rFonts w:hint="eastAsia" w:ascii="宋体" w:hAnsi="宋体" w:eastAsia="宋体" w:cs="仿宋_GB2312"/>
          <w:b/>
          <w:bCs w:val="0"/>
          <w:kern w:val="0"/>
          <w:sz w:val="30"/>
          <w:szCs w:val="30"/>
          <w:lang w:val="en-US" w:eastAsia="zh-CN" w:bidi="ar"/>
        </w:rPr>
        <w:t>注：</w:t>
      </w:r>
      <w:r>
        <w:rPr>
          <w:rFonts w:hint="eastAsia" w:ascii="仿宋_GB2312" w:hAnsi="仿宋_GB2312" w:eastAsia="仿宋_GB2312" w:cs="仿宋_GB2312"/>
          <w:kern w:val="0"/>
          <w:sz w:val="30"/>
          <w:szCs w:val="30"/>
          <w:lang w:val="en-US" w:eastAsia="zh-CN" w:bidi="ar"/>
        </w:rPr>
        <w:t>1.同一名学生或一个学生团队在一个比赛项目中多级获奖的按最高奖项进行奖励；同一名学生或一个学生团队的同一件作品在多个赛事同时获奖的按所获最高奖项进行奖励；同一名教师或者一个教师团队指导多名学生在一个比赛项目中获多个奖项的按所获最高奖项进行奖励；同一名教师或者一个教师团队指导学生的同一件作品在多项赛事中同时获奖的按所获最高奖项进行奖励。</w:t>
      </w:r>
    </w:p>
    <w:p>
      <w:pPr>
        <w:keepNext w:val="0"/>
        <w:keepLines w:val="0"/>
        <w:widowControl w:val="0"/>
        <w:suppressLineNumbers w:val="0"/>
        <w:adjustRightInd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2.每一项赛事获得两个以上奖项的，教务处将按照奖项的级别高低选择前两项作为课时补助的参照标准，由赛事负责老师对课时补助进行分配。</w:t>
      </w:r>
    </w:p>
    <w:p>
      <w:pPr>
        <w:keepNext w:val="0"/>
        <w:keepLines w:val="0"/>
        <w:widowControl w:val="0"/>
        <w:suppressLineNumbers w:val="0"/>
        <w:adjustRightInd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3.若赛事奖项以名次进行记录（如：第一名、第二名等），则第一名相当于一等奖，第二名和第三名相当于二等奖，第四名、第五名、第六名相当于三等奖。</w:t>
      </w:r>
    </w:p>
    <w:p>
      <w:pPr>
        <w:keepNext w:val="0"/>
        <w:keepLines w:val="0"/>
        <w:widowControl w:val="0"/>
        <w:suppressLineNumbers w:val="0"/>
        <w:adjustRightInd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4.如果赛事奖项的最高奖为特等奖，那么特等奖按照一等奖标准进行奖励，一等奖按照二等奖标准进行奖励，依次类推。</w:t>
      </w:r>
    </w:p>
    <w:p>
      <w:pPr>
        <w:keepNext w:val="0"/>
        <w:keepLines w:val="0"/>
        <w:widowControl w:val="0"/>
        <w:suppressLineNumbers w:val="0"/>
        <w:adjustRightInd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5.一名指导教师在一项赛事中最多独立指导两个作品参赛或者参与指导三个作品参赛。</w:t>
      </w:r>
    </w:p>
    <w:p>
      <w:pPr>
        <w:keepNext w:val="0"/>
        <w:keepLines w:val="0"/>
        <w:widowControl w:val="0"/>
        <w:suppressLineNumbers w:val="0"/>
        <w:adjustRightInd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6.若某项奖奖项是由指导教师单独指导的，奖励课时数按照以上标准减半执行。</w:t>
      </w:r>
    </w:p>
    <w:p>
      <w:pPr>
        <w:keepNext w:val="0"/>
        <w:keepLines w:val="0"/>
        <w:widowControl w:val="0"/>
        <w:suppressLineNumbers w:val="0"/>
        <w:adjustRightInd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7.指导教师因学生获奖补助的课时不计入教师年终教学工作总量，只计算课时津贴。</w:t>
      </w:r>
    </w:p>
    <w:p>
      <w:pPr>
        <w:keepNext w:val="0"/>
        <w:keepLines w:val="0"/>
        <w:widowControl w:val="0"/>
        <w:suppressLineNumbers w:val="0"/>
        <w:adjustRightInd w:val="0"/>
        <w:spacing w:before="0" w:beforeAutospacing="0" w:after="0" w:afterAutospacing="0"/>
        <w:ind w:left="0" w:right="0" w:firstLine="602"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第十九条  </w:t>
      </w:r>
      <w:r>
        <w:rPr>
          <w:rFonts w:hint="eastAsia" w:ascii="仿宋_GB2312" w:hAnsi="仿宋_GB2312" w:eastAsia="仿宋_GB2312" w:cs="仿宋_GB2312"/>
          <w:kern w:val="0"/>
          <w:sz w:val="30"/>
          <w:szCs w:val="30"/>
          <w:lang w:val="en-US" w:eastAsia="zh-CN" w:bidi="ar"/>
        </w:rPr>
        <w:t>对因参加国家级A类比赛而举办的校级预赛，学生和指导教师的获奖奖励参照省级B类的获奖奖励标准执行；获奖课时补助按校级一等奖30课时、校级二等奖20课时、校级三等奖10课时的标准进行补助。</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仿宋_GB2312" w:eastAsia="仿宋_GB2312" w:cs="仿宋_GB2312"/>
          <w:b/>
          <w:kern w:val="0"/>
          <w:sz w:val="30"/>
          <w:szCs w:val="30"/>
          <w:lang w:val="en-US"/>
        </w:rPr>
      </w:pPr>
      <w:r>
        <w:rPr>
          <w:rFonts w:hint="eastAsia" w:ascii="仿宋_GB2312" w:hAnsi="仿宋_GB2312" w:eastAsia="仿宋_GB2312" w:cs="仿宋_GB2312"/>
          <w:b/>
          <w:kern w:val="0"/>
          <w:sz w:val="30"/>
          <w:szCs w:val="30"/>
          <w:lang w:val="en-US" w:eastAsia="zh-CN" w:bidi="ar"/>
        </w:rPr>
        <w:t>第二十条  针对教师指导学生获得学科竞赛奖的科研方面奖励如下：</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1.国家级A类比赛中，获得“互联网+”大学生创新创业大赛和“挑战杯”大学生课外学术科技作品竞赛国家级一、二、三等奖，分别认定指导教师或指导教师团队等同发表一类核心期刊论文1.5、1、0.5篇；</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2.国家级A类比赛中，获得“创青春”大学生创业大赛国家级一、二、三等奖，分别认定指导教师或指导教师团队等同发表一类核心期刊论文1、0.5、0.3篇；</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3.获得国家级B类比赛一、二、三等奖，分别认定指导教师或指导教师团队等同发表二类核心期刊论文1.5、1、0.5篇；</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4.获得省级A类比赛一、二、三等奖，分别认定指导教师或指导教师团队等同发表三类核心期刊论文1.5、1、0.5篇；</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5.指导教师团队的获奖分配比例由项目负责人负责，排名靠后的获得比例不得高于排名靠前的获得比例；</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6.获得此条认定的奖励，不再计算科研论文奖励，仅用于职称评审时的附加，但不充当基本条件的要求。</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仿宋_GB2312"/>
          <w:kern w:val="0"/>
          <w:sz w:val="30"/>
          <w:szCs w:val="30"/>
          <w:lang w:val="en-US"/>
        </w:rPr>
      </w:pPr>
      <w:r>
        <w:rPr>
          <w:rFonts w:hint="eastAsia" w:ascii="黑体" w:hAnsi="宋体" w:eastAsia="黑体" w:cs="仿宋_GB2312"/>
          <w:bCs/>
          <w:kern w:val="2"/>
          <w:sz w:val="30"/>
          <w:szCs w:val="30"/>
          <w:lang w:val="en-US" w:eastAsia="zh-CN" w:bidi="ar"/>
        </w:rPr>
        <w:t>第五章  附则</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第二十一条  </w:t>
      </w:r>
      <w:r>
        <w:rPr>
          <w:rFonts w:hint="eastAsia" w:ascii="仿宋_GB2312" w:hAnsi="仿宋_GB2312" w:eastAsia="仿宋_GB2312" w:cs="仿宋_GB2312"/>
          <w:kern w:val="0"/>
          <w:sz w:val="30"/>
          <w:szCs w:val="30"/>
          <w:lang w:val="en-US" w:eastAsia="zh-CN" w:bidi="ar"/>
        </w:rPr>
        <w:t>学校依据《宜春学院大学生第二课堂学分认定办法（试行）》的规定给予获奖学生相应的第二课堂学分；或者依据《宜春学院课程学分转换暂行办法》的规定，学生可以申请有关课程的学分转换。</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第二十二条  </w:t>
      </w:r>
      <w:r>
        <w:rPr>
          <w:rFonts w:hint="eastAsia" w:ascii="仿宋_GB2312" w:hAnsi="仿宋_GB2312" w:eastAsia="仿宋_GB2312" w:cs="仿宋_GB2312"/>
          <w:kern w:val="0"/>
          <w:sz w:val="30"/>
          <w:szCs w:val="30"/>
          <w:lang w:val="en-US" w:eastAsia="zh-CN" w:bidi="ar"/>
        </w:rPr>
        <w:t>项目（校内、校外）承担教学院应将项目的实施方案最迟于项目正式开展前的10个工作日报教务处审批。方案内容包括：项目开展的目的、组织者、开展形式、参加对象、培训指导计划安排、经费预算和管理办法等。</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第二十三条  </w:t>
      </w:r>
      <w:r>
        <w:rPr>
          <w:rFonts w:hint="eastAsia" w:ascii="仿宋_GB2312" w:hAnsi="仿宋_GB2312" w:eastAsia="仿宋_GB2312" w:cs="仿宋_GB2312"/>
          <w:kern w:val="0"/>
          <w:sz w:val="30"/>
          <w:szCs w:val="30"/>
          <w:lang w:val="en-US" w:eastAsia="zh-CN" w:bidi="ar"/>
        </w:rPr>
        <w:t>校内项目开展时间的选择应以不影响正常的教学安排为原则。</w:t>
      </w:r>
    </w:p>
    <w:p>
      <w:pPr>
        <w:keepNext w:val="0"/>
        <w:keepLines w:val="0"/>
        <w:widowControl w:val="0"/>
        <w:suppressLineNumbers w:val="0"/>
        <w:spacing w:before="0" w:beforeAutospacing="0" w:after="0" w:afterAutospacing="0"/>
        <w:ind w:left="0" w:right="0" w:firstLine="602" w:firstLineChars="20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kern w:val="0"/>
          <w:sz w:val="30"/>
          <w:szCs w:val="30"/>
          <w:lang w:val="en-US" w:eastAsia="zh-CN" w:bidi="ar"/>
        </w:rPr>
        <w:t xml:space="preserve">第二十四条  </w:t>
      </w:r>
      <w:r>
        <w:rPr>
          <w:rFonts w:hint="eastAsia" w:ascii="仿宋_GB2312" w:hAnsi="仿宋_GB2312" w:eastAsia="仿宋_GB2312" w:cs="仿宋_GB2312"/>
          <w:kern w:val="0"/>
          <w:sz w:val="30"/>
          <w:szCs w:val="30"/>
          <w:lang w:val="en-US" w:eastAsia="zh-CN" w:bidi="ar"/>
        </w:rPr>
        <w:t>本办法自印发之日起执行，由教务处负责解释。原宜春学院《大学生能力建设项目管理办法》（宜学院字〔2018〕133号）同时废止。</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0"/>
          <w:sz w:val="30"/>
          <w:szCs w:val="30"/>
          <w:lang w:val="en-US"/>
        </w:rPr>
      </w:pPr>
    </w:p>
    <w:p>
      <w:pPr>
        <w:keepNext w:val="0"/>
        <w:keepLines w:val="0"/>
        <w:widowControl w:val="0"/>
        <w:suppressLineNumbers w:val="0"/>
        <w:spacing w:before="0" w:beforeAutospacing="0" w:after="0" w:afterAutospacing="0"/>
        <w:ind w:left="0" w:right="0" w:firstLine="888" w:firstLineChars="295"/>
        <w:jc w:val="both"/>
        <w:rPr>
          <w:rFonts w:hint="eastAsia" w:ascii="仿宋_GB2312" w:hAnsi="仿宋_GB2312" w:eastAsia="仿宋_GB2312" w:cs="仿宋_GB2312"/>
          <w:b/>
          <w:kern w:val="0"/>
          <w:sz w:val="30"/>
          <w:szCs w:val="30"/>
          <w:lang w:val="en-US"/>
        </w:rPr>
      </w:pPr>
      <w:r>
        <w:rPr>
          <w:rFonts w:hint="eastAsia" w:ascii="仿宋_GB2312" w:hAnsi="仿宋_GB2312" w:eastAsia="仿宋_GB2312" w:cs="仿宋_GB2312"/>
          <w:b/>
          <w:kern w:val="0"/>
          <w:sz w:val="30"/>
          <w:szCs w:val="30"/>
          <w:lang w:val="en-US" w:eastAsia="zh-CN" w:bidi="ar"/>
        </w:rPr>
        <w:t>附件:</w:t>
      </w:r>
    </w:p>
    <w:p>
      <w:pPr>
        <w:keepNext w:val="0"/>
        <w:keepLines w:val="0"/>
        <w:widowControl w:val="0"/>
        <w:suppressLineNumbers w:val="0"/>
        <w:spacing w:before="0" w:beforeAutospacing="0" w:after="0" w:afterAutospacing="0"/>
        <w:ind w:left="0" w:right="0" w:firstLine="750" w:firstLineChars="250"/>
        <w:jc w:val="both"/>
        <w:rPr>
          <w:rFonts w:hint="eastAsia" w:ascii="仿宋_GB2312" w:hAnsi="仿宋_GB2312" w:eastAsia="仿宋_GB2312" w:cs="仿宋_GB2312"/>
          <w:spacing w:val="-10"/>
          <w:sz w:val="30"/>
          <w:szCs w:val="30"/>
          <w:lang w:val="en-US"/>
        </w:rPr>
      </w:pPr>
      <w:r>
        <w:rPr>
          <w:rFonts w:hint="eastAsia" w:ascii="仿宋_GB2312" w:hAnsi="仿宋_GB2312" w:eastAsia="仿宋_GB2312" w:cs="仿宋_GB2312"/>
          <w:kern w:val="0"/>
          <w:sz w:val="30"/>
          <w:szCs w:val="30"/>
          <w:lang w:val="en-US" w:eastAsia="zh-CN" w:bidi="ar"/>
        </w:rPr>
        <w:t xml:space="preserve"> 1.</w:t>
      </w:r>
      <w:r>
        <w:rPr>
          <w:rFonts w:hint="eastAsia" w:ascii="仿宋_GB2312" w:hAnsi="仿宋_GB2312" w:eastAsia="仿宋_GB2312" w:cs="仿宋_GB2312"/>
          <w:spacing w:val="-10"/>
          <w:kern w:val="2"/>
          <w:sz w:val="30"/>
          <w:szCs w:val="30"/>
          <w:lang w:val="en-US" w:eastAsia="zh-CN" w:bidi="ar"/>
        </w:rPr>
        <w:t>宜春学院省级以上大学生能力建设项目分类一览表</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2"/>
          <w:sz w:val="30"/>
          <w:szCs w:val="30"/>
          <w:lang w:val="en-US" w:eastAsia="zh-CN" w:bidi="ar"/>
        </w:rPr>
        <w:t xml:space="preserve">      2.</w:t>
      </w:r>
      <w:r>
        <w:rPr>
          <w:rFonts w:hint="eastAsia" w:ascii="仿宋_GB2312" w:hAnsi="仿宋_GB2312" w:eastAsia="仿宋_GB2312" w:cs="仿宋_GB2312"/>
          <w:kern w:val="0"/>
          <w:sz w:val="30"/>
          <w:szCs w:val="30"/>
          <w:lang w:val="en-US" w:eastAsia="zh-CN" w:bidi="ar"/>
        </w:rPr>
        <w:t>宜春学院大学生能力建设项目申报表</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 xml:space="preserve">      3.宜春学院大学生能力建设项目总结材料清单</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kern w:val="0"/>
          <w:sz w:val="30"/>
          <w:szCs w:val="30"/>
          <w:lang w:val="en-US" w:eastAsia="zh-CN" w:bidi="ar"/>
        </w:rPr>
        <w:t xml:space="preserve">      4.宜春学院大学生能力建设项目开展流程图</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仿宋_GB2312"/>
          <w:bCs/>
          <w:kern w:val="0"/>
          <w:sz w:val="28"/>
          <w:szCs w:val="28"/>
          <w:lang w:val="en-US"/>
        </w:rPr>
      </w:pPr>
      <w:r>
        <w:rPr>
          <w:rFonts w:hint="eastAsia" w:ascii="仿宋_GB2312" w:hAnsi="宋体" w:eastAsia="仿宋_GB2312" w:cs="仿宋_GB2312"/>
          <w:b/>
          <w:sz w:val="28"/>
          <w:szCs w:val="28"/>
          <w:lang w:val="en-US" w:eastAsia="zh-CN" w:bidi="ar"/>
        </w:rPr>
        <w:br w:type="page"/>
      </w:r>
      <w:r>
        <w:rPr>
          <w:rFonts w:hint="eastAsia" w:ascii="黑体" w:hAnsi="宋体" w:eastAsia="黑体" w:cs="仿宋_GB2312"/>
          <w:bCs/>
          <w:kern w:val="0"/>
          <w:sz w:val="28"/>
          <w:szCs w:val="28"/>
          <w:lang w:val="en-US" w:eastAsia="zh-CN" w:bidi="ar"/>
        </w:rPr>
        <w:t>附件1</w:t>
      </w:r>
    </w:p>
    <w:p>
      <w:pPr>
        <w:keepNext w:val="0"/>
        <w:keepLines w:val="0"/>
        <w:widowControl w:val="0"/>
        <w:suppressLineNumbers w:val="0"/>
        <w:spacing w:before="0" w:beforeAutospacing="0" w:after="0" w:afterAutospacing="0"/>
        <w:ind w:left="0" w:right="0"/>
        <w:jc w:val="center"/>
        <w:rPr>
          <w:rFonts w:hint="eastAsia" w:ascii="宋体" w:hAnsi="Calibri" w:eastAsia="宋体" w:cs="仿宋_GB2312"/>
          <w:b/>
          <w:bCs w:val="0"/>
          <w:sz w:val="36"/>
          <w:szCs w:val="36"/>
          <w:lang w:val="en-US"/>
        </w:rPr>
      </w:pPr>
      <w:r>
        <w:rPr>
          <w:rFonts w:hint="eastAsia" w:ascii="宋体" w:hAnsi="宋体" w:eastAsia="宋体" w:cs="仿宋_GB2312"/>
          <w:b/>
          <w:bCs w:val="0"/>
          <w:kern w:val="2"/>
          <w:sz w:val="36"/>
          <w:szCs w:val="36"/>
          <w:lang w:val="en-US" w:eastAsia="zh-CN" w:bidi="ar"/>
        </w:rPr>
        <w:t>宜春学院省级以上大学生能力建设项目分类一览表</w:t>
      </w:r>
    </w:p>
    <w:tbl>
      <w:tblPr>
        <w:tblStyle w:val="9"/>
        <w:tblW w:w="9012" w:type="dxa"/>
        <w:tblInd w:w="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
      <w:tblGrid>
        <w:gridCol w:w="960"/>
        <w:gridCol w:w="3687"/>
        <w:gridCol w:w="3177"/>
        <w:gridCol w:w="11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0" w:type="dxa"/>
            <w:bottom w:w="0" w:type="dxa"/>
            <w:right w:w="0" w:type="dxa"/>
          </w:tblCellMar>
        </w:tblPrEx>
        <w:trPr>
          <w:trHeight w:val="327"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Calibri" w:eastAsia="宋体" w:cs="宋体"/>
                <w:b/>
                <w:bCs w:val="0"/>
                <w:sz w:val="24"/>
                <w:szCs w:val="22"/>
                <w:bdr w:val="none" w:color="auto" w:sz="0" w:space="0"/>
                <w:lang w:val="en-US"/>
              </w:rPr>
            </w:pPr>
            <w:r>
              <w:rPr>
                <w:rFonts w:hint="eastAsia" w:ascii="宋体" w:hAnsi="宋体" w:eastAsia="宋体" w:cs="宋体"/>
                <w:b/>
                <w:bCs w:val="0"/>
                <w:kern w:val="0"/>
                <w:sz w:val="24"/>
                <w:szCs w:val="22"/>
                <w:bdr w:val="none" w:color="auto" w:sz="0" w:space="0"/>
                <w:lang w:val="en-US" w:eastAsia="zh-CN" w:bidi="ar"/>
              </w:rPr>
              <w:t>编号</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Calibri" w:eastAsia="宋体" w:cs="宋体"/>
                <w:b/>
                <w:bCs w:val="0"/>
                <w:sz w:val="24"/>
                <w:szCs w:val="22"/>
                <w:bdr w:val="none" w:color="auto" w:sz="0" w:space="0"/>
                <w:lang w:val="en-US"/>
              </w:rPr>
            </w:pPr>
            <w:r>
              <w:rPr>
                <w:rFonts w:hint="eastAsia" w:ascii="宋体" w:hAnsi="宋体" w:eastAsia="宋体" w:cs="宋体"/>
                <w:b/>
                <w:bCs w:val="0"/>
                <w:kern w:val="0"/>
                <w:sz w:val="24"/>
                <w:szCs w:val="22"/>
                <w:bdr w:val="none" w:color="auto" w:sz="0" w:space="0"/>
                <w:lang w:val="en-US" w:eastAsia="zh-CN" w:bidi="ar"/>
              </w:rPr>
              <w:t>项目名称</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Calibri" w:eastAsia="宋体" w:cs="宋体"/>
                <w:b/>
                <w:bCs w:val="0"/>
                <w:sz w:val="24"/>
                <w:szCs w:val="22"/>
                <w:bdr w:val="none" w:color="auto" w:sz="0" w:space="0"/>
                <w:lang w:val="en-US"/>
              </w:rPr>
            </w:pPr>
            <w:r>
              <w:rPr>
                <w:rFonts w:hint="eastAsia" w:ascii="宋体" w:hAnsi="宋体" w:eastAsia="宋体" w:cs="宋体"/>
                <w:b/>
                <w:bCs w:val="0"/>
                <w:kern w:val="0"/>
                <w:sz w:val="24"/>
                <w:szCs w:val="22"/>
                <w:bdr w:val="none" w:color="auto" w:sz="0" w:space="0"/>
                <w:lang w:val="en-US" w:eastAsia="zh-CN" w:bidi="ar"/>
              </w:rPr>
              <w:t>主办单位</w:t>
            </w:r>
          </w:p>
        </w:tc>
        <w:tc>
          <w:tcPr>
            <w:tcW w:w="1188"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Calibri" w:eastAsia="宋体" w:cs="宋体"/>
                <w:b/>
                <w:bCs w:val="0"/>
                <w:sz w:val="24"/>
                <w:szCs w:val="22"/>
                <w:bdr w:val="none" w:color="auto" w:sz="0" w:space="0"/>
                <w:lang w:val="en-US"/>
              </w:rPr>
            </w:pPr>
            <w:r>
              <w:rPr>
                <w:rFonts w:hint="eastAsia" w:ascii="宋体" w:hAnsi="宋体" w:eastAsia="宋体" w:cs="宋体"/>
                <w:b/>
                <w:bCs w:val="0"/>
                <w:kern w:val="0"/>
                <w:sz w:val="24"/>
                <w:szCs w:val="22"/>
                <w:bdr w:val="none" w:color="auto" w:sz="0" w:space="0"/>
                <w:lang w:val="en-US" w:eastAsia="zh-CN" w:bidi="ar"/>
              </w:rPr>
              <w:t>级别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JSG0001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Style w:val="21"/>
                <w:rFonts w:hAnsi="宋体"/>
                <w:kern w:val="2"/>
                <w:sz w:val="22"/>
                <w:szCs w:val="22"/>
                <w:bdr w:val="none" w:color="auto" w:sz="0" w:space="0"/>
                <w:lang w:val="en-US" w:eastAsia="zh-CN" w:bidi="ar"/>
              </w:rPr>
              <w:t>中国</w:t>
            </w:r>
            <w:r>
              <w:rPr>
                <w:rFonts w:hint="eastAsia" w:ascii="宋体" w:hAnsi="宋体" w:eastAsia="宋体" w:cs="宋体"/>
                <w:kern w:val="0"/>
                <w:sz w:val="22"/>
                <w:szCs w:val="22"/>
                <w:bdr w:val="none" w:color="auto" w:sz="0" w:space="0"/>
                <w:lang w:val="en-US" w:eastAsia="zh-CN" w:bidi="ar"/>
              </w:rPr>
              <w:t>“</w:t>
            </w:r>
            <w:r>
              <w:rPr>
                <w:rStyle w:val="21"/>
                <w:rFonts w:hAnsi="宋体"/>
                <w:kern w:val="2"/>
                <w:sz w:val="22"/>
                <w:szCs w:val="22"/>
                <w:bdr w:val="none" w:color="auto" w:sz="0" w:space="0"/>
                <w:lang w:val="en-US" w:eastAsia="zh-CN" w:bidi="ar"/>
              </w:rPr>
              <w:t>互联网+</w:t>
            </w:r>
            <w:r>
              <w:rPr>
                <w:rFonts w:hint="eastAsia" w:ascii="宋体" w:hAnsi="宋体" w:eastAsia="宋体" w:cs="宋体"/>
                <w:kern w:val="0"/>
                <w:sz w:val="22"/>
                <w:szCs w:val="22"/>
                <w:bdr w:val="none" w:color="auto" w:sz="0" w:space="0"/>
                <w:lang w:val="en-US" w:eastAsia="zh-CN" w:bidi="ar"/>
              </w:rPr>
              <w:t>”</w:t>
            </w:r>
            <w:r>
              <w:rPr>
                <w:rStyle w:val="21"/>
                <w:rFonts w:hAnsi="宋体"/>
                <w:kern w:val="2"/>
                <w:sz w:val="22"/>
                <w:szCs w:val="22"/>
                <w:bdr w:val="none" w:color="auto" w:sz="0" w:space="0"/>
                <w:lang w:val="en-US" w:eastAsia="zh-CN" w:bidi="ar"/>
              </w:rPr>
              <w:t>大学生创新创业大赛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教育部、人力资源社会保障部等</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0"/>
                <w:szCs w:val="20"/>
                <w:bdr w:val="none" w:color="auto" w:sz="0" w:space="0"/>
                <w:lang w:val="en-US"/>
              </w:rPr>
            </w:pPr>
            <w:r>
              <w:rPr>
                <w:rFonts w:hint="eastAsia" w:ascii="仿宋_GB2312" w:hAnsi="宋体" w:eastAsia="仿宋_GB2312" w:cs="仿宋_GB2312"/>
                <w:kern w:val="0"/>
                <w:sz w:val="20"/>
                <w:szCs w:val="20"/>
                <w:bdr w:val="none" w:color="auto" w:sz="0" w:space="0"/>
                <w:lang w:val="en-US" w:eastAsia="zh-CN" w:bidi="ar"/>
              </w:rPr>
              <w:t>国家级A类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JSG0002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“挑战杯”全国大学生课外学术科技作品竞赛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教育部、共青团中央、中国科学技术协会、中华全国学生联合会、省级人民政府</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JSG0003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全国运动会</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国家体育总局</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JSG0004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“创青春”全国大学生创业大赛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共青团中央、教育部、人力资源和社会保障部、中国科协、全国学联</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JSG0005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ACM-ICPC国际大学生程序设计竞赛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国际计算机协会（ACM）</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JSG0006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全国大学生数学建模竞赛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中国工业与应用数学学会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JSG0007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全国大学生电子设计竞赛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教育部高等教育司、工信部人事教育司</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JSG0008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全国大学生化学实验邀请赛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教育部高等学校化学教育研究中心</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JSG0009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全国高等医学院校大学生临床技能竞赛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教育部医学教育临床教学研究中心/教育部临床实践教学指导分委员会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JSG0010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全国大学生机械创新设计大赛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教育部、财政部“质量工程”支持</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JSG0011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全国大学生结构设计竞赛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中国高等教育学会工程教育专业委员会、高等学校土木工程学科专业指导委员会、中国土木工程学会教育工作委员会、教育部科学技术委员会环境与土木水利学部</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JSG0012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全国大学生广告艺术大赛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中国高等教育学会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JSG0013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全国大学生智能汽车竞赛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教育部高等学校自动化类专业教学指导委员会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JSG0014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全国大学生电子商务“创新、创意及创业”挑战赛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教育部高等学校电子商务专业教学指导委员会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JSG0015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全国大学生节能减排社会实践与科技竞赛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教育部高等教育司</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JSG0016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全国大学生工程训练综合能力竞赛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教育部、财政部“质量工程”支持</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JSG0017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“外研社杯”全国英语演讲、写作、阅读大赛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外研社、英语专业教学指导委员会、大学外语教学指导委员会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JSG0018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全国大学生交通科技大赛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教育部高等学校交通运输与工程学科教学指导委员会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JSG0019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全国大学生物流设计大赛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教育部高等学校物流类专业教学指导委员会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JSG0020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全国师范院校师范生教学技能竞赛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全国地方高等师范院校教务处长联席会议</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JSG0021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全国大学生艺术展演</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JSG0022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全国“生泰尔杯”大学生动物医学专业技能大赛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教育部高等学校动物医学类教学指导委员会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JSG0023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全国青年运动会</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国家体育总局</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JSG0024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全国大学生运动会</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教育部、中国大学生体育协会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JSG0025</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全国三维数字化创新设计大赛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国家制造业信息化培训中心、中国图学学会等</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JSG0026</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中华龙舟大赛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国家体育总局社体中心、中央电视台体育频道、中国龙舟协会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JSG0027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中国大学生计算机设计大赛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教育部高等学校大学计算机课程教学指导委员会、中国大学生计算机设计大赛组织委员会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JSG0028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蓝桥杯全国软件和信息技术专业人才大赛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工业和信息化部人才交流中心</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JSG0029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西门子杯中国智能制造挑战赛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金砖国家工商理事会、教育部高等学校自动化类专业教学指导委员会、西门子（中国）有限公司、中国仿真学</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JSG0030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全国大学生金相技能大赛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JSG0031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全国大学生机器人大赛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共青团中央、全国学联</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JSG0032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中国高校计算机大赛--团体程序设计天梯赛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教育部高等学校计算机类专业教学指导委员会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JSG0033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中国“软件杯”大学生软件设计大赛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工业和信息化部、教育部、江西省人民政府</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JSG0034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中国大学生服务外包创新创业大赛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教育部、商务部、无锡市人民政府</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JSG0035</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全国医药院校药学/中药学专业大学生实验技能竞赛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教育部高等学校药学类专业教学指导委员会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JSG0036</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全国大学生药苑论坛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教育部高等学校药学类专业教学指导委员会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JSG0037</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全国中药学类专业学生知识技能大赛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高等学校中药学类专业教学指导委员会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JSG0038</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全国医药院校药学/中药学大学生创新创业暨实验教学改革大赛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高等学校中药学类专业教学指导委员会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JSG0039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全国“雄鹰杯”小动物医师技能大赛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教育部高等学校动物医学类教学指导委员会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JSG0040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全国大学生动物科学专业技能大赛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教育部动物生产类专业教学指导委员会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JSG0041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“园冶杯”园林国际竞赛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园冶杯国际竞赛组委会，中国风景园林协会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JSG0042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国际大学生数学建模竞赛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美国国家科学基金会、美国数学会、美国运筹与管理学会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JSG0043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全国青年科普创新实验暨作品大赛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中国科协科普部、共青团中央学校部</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JSG0044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书学之路——全国高等书法教育教学成果展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中国高等教育学会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JSG0045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全国护理专业本科临床技能大赛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全国高等医学教育学会护理学分会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JSG0046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万峰林国际微电影大赛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中国社会科学院世界电影研究中心与中国高校影视学会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JSG0047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全国“网中网杯”大学生财务决策大赛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中国高等教育学会高等财经教育分会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JSG0048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全国中国画系列作品展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中国美术家协会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JSG0049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中国之星设计奖大赛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中国包装联合会设计委员会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JSG0050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全国大学生制药工程设计竞赛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教育部高等学校药学类专业教学指导委员会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JSG0051</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发现杯全国大学生互联网软件设计大赛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中国电子商务协会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JSG0052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法国歌曲大赛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法国驻华大使馆，北京法国文化中心</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JSG0053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法国文化知识竞赛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法国驻武汉总领馆</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JSG0054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法语人才竞赛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中国法国工商会，法国大使馆，法国ESSEC高等商学院，法资企业法雷奥集团</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JSG0055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全国微课大赛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教育部陕西师范大学基础教育研究中心</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JSG0056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“瑞萨杯”全国大学生四旋翼无人机大赛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教育部高等教育司</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JSG0057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“英飞凌杯”全国高校无人机创新设计应用大赛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教育部高等学校电气类专业教学指导委员会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JSG0058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全国大学生智能互联创新大赛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教育部高等学校电子信息类专业教学指导委员会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JSG0059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全国应用型人才综合技能大赛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教育部学校规划建设发展中心</w:t>
            </w:r>
          </w:p>
        </w:tc>
        <w:tc>
          <w:tcPr>
            <w:tcW w:w="1188"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JSG0060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齐越朗诵艺术节暨全国大学生朗诵大会</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教育部语言文字应用管理司、中国传媒大学</w:t>
            </w:r>
          </w:p>
        </w:tc>
        <w:tc>
          <w:tcPr>
            <w:tcW w:w="1188"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JSG0061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“中学西渐杯”全国汉语国际教育教学技能大赛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中国教育电视台</w:t>
            </w:r>
          </w:p>
        </w:tc>
        <w:tc>
          <w:tcPr>
            <w:tcW w:w="1188"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JSG0062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中国（广州）国际纪录片节大学生纪录片大赛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中国（广州）国际纪录片节、中国教育电视台、中国青年报</w:t>
            </w:r>
          </w:p>
        </w:tc>
        <w:tc>
          <w:tcPr>
            <w:tcW w:w="1188"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JSG0063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中国VR/AR创作大赛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中国电视艺术家协会立体影像专业委员会、北京师范大学、北京奇幻科技有限公司</w:t>
            </w:r>
          </w:p>
        </w:tc>
        <w:tc>
          <w:tcPr>
            <w:tcW w:w="1188"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JSG0064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全国税务技能大赛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中国商业会计学会、中国高等教育学会财经教育分会</w:t>
            </w:r>
          </w:p>
        </w:tc>
        <w:tc>
          <w:tcPr>
            <w:tcW w:w="1188"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JSG0065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Style w:val="21"/>
                <w:rFonts w:hAnsi="宋体"/>
                <w:kern w:val="2"/>
                <w:sz w:val="22"/>
                <w:szCs w:val="22"/>
                <w:bdr w:val="none" w:color="auto" w:sz="0" w:space="0"/>
                <w:lang w:val="en-US" w:eastAsia="zh-CN" w:bidi="ar"/>
              </w:rPr>
              <w:t>中国</w:t>
            </w:r>
            <w:r>
              <w:rPr>
                <w:rFonts w:hint="default" w:ascii="宋体" w:hAnsi="Calibri" w:eastAsia="宋体" w:cs="宋体"/>
                <w:kern w:val="0"/>
                <w:sz w:val="22"/>
                <w:szCs w:val="22"/>
                <w:bdr w:val="none" w:color="auto" w:sz="0" w:space="0"/>
                <w:lang w:val="en-US" w:eastAsia="zh-CN" w:bidi="ar"/>
              </w:rPr>
              <w:t>•</w:t>
            </w:r>
            <w:r>
              <w:rPr>
                <w:rStyle w:val="21"/>
                <w:rFonts w:hAnsi="宋体"/>
                <w:kern w:val="2"/>
                <w:sz w:val="22"/>
                <w:szCs w:val="22"/>
                <w:bdr w:val="none" w:color="auto" w:sz="0" w:space="0"/>
                <w:lang w:val="en-US" w:eastAsia="zh-CN" w:bidi="ar"/>
              </w:rPr>
              <w:t>观澜国际版画双年展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中国美术家协会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JSG0066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中国大学生跨境电子商务创新创业大赛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清华大学国家服务外包人力资源研究院</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JSG0067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全国高校物联网应用创新大赛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互联网应用创新开放平台联盟</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JSG0068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全国高等院校暨行业医学美容技术技能竞赛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中国整形美容协会美容教育与管理分会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JSG0069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高校地理专业师范生教学技能</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中国教育学会地理教学专业委员会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JSG0070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全国大学生通信网络部署与优化设计大赛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中国通信学会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JSG0071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全国师范院校儿童文学研究会第17届年会</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全国师范院校儿童文学研究会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JSG0072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全国大学生电子信息类创新能力大赛通信工程应用竞赛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教育部高等学校电子信息类专业教学指导委员会和中国通信学会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JSG0073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中国可再生能源学会大学生优秀科技作品竞赛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中国可再生能源学会（国家级行业学会，证书上明确注明主办部门为国家级行业学会）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JSG0074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全国大学生物联网设计竞赛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教育部高等学校计算机类专业教学指导委员会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JSG0075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全国中高等院校BIM电子招投标大赛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中国土木工程学会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JSG0076</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全国高等院校BIM应用技能大赛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中国建设教育协会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JSG0077</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全国高等院校学生“斯维尔杯”建筑信息模型应用技能大赛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中国建设教育协会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JSG0078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全国大学生化工实验大赛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教育部高等学校化工类专业教学指导委员会、中国化工教育协会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JSG0079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Style w:val="21"/>
                <w:rFonts w:hAnsi="宋体"/>
                <w:kern w:val="2"/>
                <w:sz w:val="22"/>
                <w:szCs w:val="22"/>
                <w:bdr w:val="none" w:color="auto" w:sz="0" w:space="0"/>
                <w:lang w:val="en-US" w:eastAsia="zh-CN" w:bidi="ar"/>
              </w:rPr>
              <w:t>国药工程-东富龙杯</w:t>
            </w:r>
            <w:r>
              <w:rPr>
                <w:rFonts w:hint="eastAsia" w:ascii="宋体" w:hAnsi="宋体" w:eastAsia="宋体" w:cs="宋体"/>
                <w:kern w:val="0"/>
                <w:sz w:val="22"/>
                <w:szCs w:val="22"/>
                <w:bdr w:val="none" w:color="auto" w:sz="0" w:space="0"/>
                <w:lang w:val="en-US" w:eastAsia="zh-CN" w:bidi="ar"/>
              </w:rPr>
              <w:t>”</w:t>
            </w:r>
            <w:r>
              <w:rPr>
                <w:rStyle w:val="21"/>
                <w:rFonts w:hAnsi="宋体"/>
                <w:kern w:val="2"/>
                <w:sz w:val="22"/>
                <w:szCs w:val="22"/>
                <w:bdr w:val="none" w:color="auto" w:sz="0" w:space="0"/>
                <w:lang w:val="en-US" w:eastAsia="zh-CN" w:bidi="ar"/>
              </w:rPr>
              <w:t>全国大学生制药工程设计竞赛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教育部高等学校药学类专业教学指导委员会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JSG0080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全国大学生生命科学竞赛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教育部高等学校大学生生物学课程教学指导委员会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JSG0081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kern w:val="0"/>
                <w:sz w:val="22"/>
                <w:szCs w:val="22"/>
                <w:bdr w:val="none" w:color="auto" w:sz="0" w:space="0"/>
                <w:lang w:val="en-US" w:bidi="ar"/>
              </w:rPr>
            </w:pPr>
            <w:r>
              <w:rPr>
                <w:rFonts w:hint="eastAsia" w:ascii="仿宋_GB2312" w:hAnsi="宋体" w:eastAsia="仿宋_GB2312" w:cs="仿宋_GB2312"/>
                <w:kern w:val="0"/>
                <w:sz w:val="22"/>
                <w:szCs w:val="22"/>
                <w:bdr w:val="none" w:color="auto" w:sz="0" w:space="0"/>
                <w:lang w:val="en-US" w:eastAsia="zh-CN" w:bidi="ar"/>
              </w:rPr>
              <w:t>“华文杯”全国师范院校师范生教学技能大赛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中国教育技术协会微格教学专业委员会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JSG0082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全国大学生化学实验创新设计竞赛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教育部高等学校化学类专业教学指导委员会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JSG0083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“Garden”花园杯植物景观设计竞赛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中国风景园林学会教育工作委员“Garden”花园杯植物景观设计竞赛组委会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JSG0084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奥雅设计之星大学生竞赛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深圳市委宣传部　深圳市文体旅游局、深圳市设计之都推广办公室、腾冲市人民政府</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JSG0085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全国高校GIS技能大赛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中国测绘学会、自然资源部职业技能鉴定指导中心、工业和信息化部人才交流中心、地理信息系统产业技术创新战略联盟、国家地理信息系统工程技术研究中心、承办：中地数码集团</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JSG0086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中国创新方法大赛（中国TRIZ杯大学生创新方法）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中国科学技术协会、科学技术部</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JSG0087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香港国际武术比赛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国际武术联合会、国家体育总局武术运动管理中心、中国武术协会、香港国际武术比赛组委会、香港武术联合会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JSG0088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全国健美操冠军赛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国家体育总局体操运动管理中心</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JSG0089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全国健美操锦标赛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国家体育总局体操运动管理中心</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JSG0090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全国传统武术比赛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国家体育总局武术运动管理中心、中国武术协会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JSG0091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中国体育舞蹈联合会CDSF全国体育舞蹈锦标赛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中国体育舞蹈联合会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JSG0092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CBDF中国国际标准舞锦标赛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中国国际标准舞协会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JSG0093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全国健身交谊舞锦标赛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中国体育舞蹈联合会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JSG0094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全国运动训练竞赛联盟健美操比赛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国家体育总局体操运动管理中心</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JSG0095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全国体育舞蹈艺术节</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全国体育院校艺术类专业建设协作会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JSG0096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中国大学生体育舞蹈锦标赛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中国大学生体育协会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JSG0097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全国体育舞蹈公开赛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中国关心下一代工作委员会健康体育发展中心</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JSG0098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全国高等院校健身气功比赛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国家体育总局健身气功管理中心</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JSG0099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中国学生毽球锦标赛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中国大学生体育协会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JSG0100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中国大学生武术套路锦标赛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中国大学生体育协会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JSG0101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全国大学生赛艇锦标赛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中国赛艇协会、中国大学生体育协会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JSG0102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全国大学生皮划艇锦标赛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中国皮划艇协会、中国大学生体育协会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JSG0103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全国跳绳比赛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国家体育总局社会体育指导中心、中国大学生体育协会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JSG0104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中国大学生气排球锦标赛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中国大学生体育协会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JSG0105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中国气排球公开赛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中国排球协会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JSG0106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“超级杯”全国气排球联赛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国家体育总局排球运动管理中心</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JSG0107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全国大学生射击锦标赛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中国射击协会、中国大学生体育协会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JSG0108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全国大学生英语竞赛(全国总决赛)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国际英语外语教师协会中国英语外语教师协会和高等学校大学外语教学研究会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JSG0109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中国包装创意设计大赛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中国包装联合会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JSG0110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“园冶杯”大学生国际竞赛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教育部高等学校大学计算机课程教学指导委员会、中国大学生计算机设计大赛组织委员会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kern w:val="0"/>
                <w:sz w:val="22"/>
                <w:szCs w:val="22"/>
                <w:bdr w:val="none" w:color="auto" w:sz="0" w:space="0"/>
                <w:lang w:val="en-US" w:bidi="ar"/>
              </w:rPr>
            </w:pPr>
            <w:r>
              <w:rPr>
                <w:rFonts w:hint="eastAsia" w:ascii="仿宋_GB2312" w:hAnsi="宋体" w:eastAsia="仿宋_GB2312" w:cs="仿宋_GB2312"/>
                <w:kern w:val="0"/>
                <w:sz w:val="22"/>
                <w:szCs w:val="22"/>
                <w:bdr w:val="none" w:color="auto" w:sz="0" w:space="0"/>
                <w:lang w:val="en-US" w:eastAsia="zh-CN" w:bidi="ar"/>
              </w:rPr>
              <w:t>JSG0111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kern w:val="0"/>
                <w:sz w:val="22"/>
                <w:szCs w:val="22"/>
                <w:bdr w:val="none" w:color="auto" w:sz="0" w:space="0"/>
                <w:lang w:val="en-US" w:bidi="ar"/>
              </w:rPr>
            </w:pPr>
            <w:r>
              <w:rPr>
                <w:rFonts w:hint="eastAsia" w:ascii="仿宋_GB2312" w:hAnsi="宋体" w:eastAsia="仿宋_GB2312" w:cs="仿宋_GB2312"/>
                <w:kern w:val="0"/>
                <w:sz w:val="22"/>
                <w:szCs w:val="22"/>
                <w:bdr w:val="none" w:color="auto" w:sz="0" w:space="0"/>
                <w:lang w:val="en-US" w:eastAsia="zh-CN" w:bidi="ar"/>
              </w:rPr>
              <w:t>全国大学生原创文学大赛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kern w:val="0"/>
                <w:sz w:val="22"/>
                <w:szCs w:val="22"/>
                <w:bdr w:val="none" w:color="auto" w:sz="0" w:space="0"/>
                <w:lang w:val="en-US" w:bidi="ar"/>
              </w:rPr>
            </w:pPr>
            <w:r>
              <w:rPr>
                <w:rFonts w:hint="eastAsia" w:ascii="仿宋_GB2312" w:hAnsi="宋体" w:eastAsia="仿宋_GB2312" w:cs="仿宋_GB2312"/>
                <w:kern w:val="0"/>
                <w:sz w:val="22"/>
                <w:szCs w:val="22"/>
                <w:bdr w:val="none" w:color="auto" w:sz="0" w:space="0"/>
                <w:lang w:val="en-US" w:eastAsia="zh-CN" w:bidi="ar"/>
              </w:rPr>
              <w:t>中山大学、广东省作家协会、《作品》杂志、广东省文艺评论家协会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kern w:val="0"/>
                <w:sz w:val="22"/>
                <w:szCs w:val="22"/>
                <w:bdr w:val="none" w:color="auto" w:sz="0" w:space="0"/>
                <w:lang w:val="en-US" w:bidi="ar"/>
              </w:rPr>
            </w:pPr>
            <w:r>
              <w:rPr>
                <w:rFonts w:hint="eastAsia" w:ascii="仿宋_GB2312" w:hAnsi="宋体" w:eastAsia="仿宋_GB2312" w:cs="仿宋_GB2312"/>
                <w:kern w:val="0"/>
                <w:sz w:val="22"/>
                <w:szCs w:val="22"/>
                <w:bdr w:val="none" w:color="auto" w:sz="0" w:space="0"/>
                <w:lang w:val="en-US" w:eastAsia="zh-CN" w:bidi="ar"/>
              </w:rPr>
              <w:t>国家级C类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JSS0001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江西省服务外包创新创业大赛</w:t>
            </w:r>
          </w:p>
        </w:tc>
        <w:tc>
          <w:tcPr>
            <w:tcW w:w="3177"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江西省教育厅、商务厅</w:t>
            </w:r>
          </w:p>
        </w:tc>
        <w:tc>
          <w:tcPr>
            <w:tcW w:w="1188"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JSS0002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江西省生化与分子生物学技能竞赛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JSS0003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江西省大学生化学竞赛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JSS0004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江西省大学生电子专题设计竞赛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JSS0005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江西省大学生电子综合设计大赛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JSS0006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江西省大学生信息技术知识大赛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JSS0007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江西省网页制作大赛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JSS0008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江西省大学生艺术展演</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JSS0009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江西省普通高校音乐学、美术学（教师教育）专业学生基本功比赛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JSS0010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江西省艺术节</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中共江西省委宣传部、江西省文化厅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JSS0011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江西省大学生知识产权（专利）知识竞赛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JSS0012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江西省美术作品展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江西省文化厅、省文联、省美协主办</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JSS0013</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江西省师范生教学技能大赛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JSS0014</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江西省大学生科普动漫创作大赛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JSS0015</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江西省大学生科技创新与职业技能大赛（动漫与艺术设计竞赛）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JSS0016</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江西省大学生舞蹈节</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江西省教育厅、江西省文联</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JSS0017</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江西省运动会</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江西省人民政府、江西省体育局</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JSS0018</w:t>
            </w:r>
          </w:p>
        </w:tc>
        <w:tc>
          <w:tcPr>
            <w:tcW w:w="36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江西省大学生排球赛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JSS0019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江西省大学生篮球赛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JSS0020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江西省大学生足球联赛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JSS0021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江西省阳光体育大中小学跳绳比赛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JSS0022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江西省健身气功比赛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JSS0023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江西省大学生田径运动会</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JSS0024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江西省大学生羽毛球比赛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江西省教育厅、江西省体育局</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JSS0025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江西省大中小学生武术套路比赛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江西省教育厅、江西省体育局</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省级A类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JSS0026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江西省大学生物理创新比赛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JSS0027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江西省药学学科联盟创新创业学术交流活动</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江西省人民政府学位委员会办公室</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JSS0028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江西省大学生英语翻译大赛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江西省翻译协会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JSS0029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全国口译（英语）大赛江西复赛区复赛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中国翻译协会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JSS0030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全国大学生英语竞赛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教育部高等学校大学外语教学指导委员会和高等学校大学外语教学研究会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JSS0031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全国高职高专实用英语大赛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全国高职高专实用英语口语大赛是教育部高等学校高职高专英语类教学指导委员会、高等学校英语应用能力考试委员会、中国职业技术教育委员会和高等教育出版社联合举办</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JSS0032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江西省”赣江杯”大学生英语竞赛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教育部高等学校大学外语教学指导委员会和高等学校大学外语教学研究会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JSS0033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江西省“亿学杯”商务英语实践技能大赛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江西省外语学会商务英语分会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JSS0034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江西省大学生书法展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江西省文联、江西省书法家协会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JSS0035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江西省临帖书法展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江西省文联、江西省书法家协会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JSS0036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江西省青年书法展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江西省文联、江西省书法家协会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JSS0037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江西省“艺德杯”大中小学师生艺术作品展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江西省教育厅、江西省教育厅艺术教育委员会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JSS0038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江西省妇女书法展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江西省书法家协会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JSS0039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江西省新人新作书法展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江西省文联、江西省书法家协会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JSS0040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江西省楹联书法作品展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江西省书法家协会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JSS0041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湖南青年书法大赛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湖南省文化厅、湖南省书法家协会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JSS0042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“农垦杯”书法作品展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江西省书法家协会、江西省农垦办</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JSS0043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江西省大学生写作大赛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江西省写作学会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JSS0044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2"/>
                <w:sz w:val="22"/>
                <w:szCs w:val="22"/>
                <w:bdr w:val="none" w:color="auto" w:sz="0" w:space="0"/>
                <w:lang w:val="en-US" w:eastAsia="zh-CN" w:bidi="ar"/>
              </w:rPr>
              <w:t>江西省大学生文学评论大赛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2"/>
                <w:sz w:val="22"/>
                <w:szCs w:val="22"/>
                <w:bdr w:val="none" w:color="auto" w:sz="0" w:space="0"/>
                <w:lang w:val="en-US" w:eastAsia="zh-CN" w:bidi="ar"/>
              </w:rPr>
              <w:t>江西省当代文学学会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JSS0045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全国大学生书画艺术大赛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中国国际书画家协会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JSS0046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江西省青年美术作品展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江西省文学艺术界联合会、共青团江西省委、江西省美术家协会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JSS0047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江西省版画展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江西省美术家协会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JSS0048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江西省高校摄影艺术作品大赛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江西省教育厅艺术教育委员会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JSS0049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江西省水彩·粉画作品展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江西省文联、江西省美术家协会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JSS0050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江西省素描作品大赛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江西省美术家协会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JSS0051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江西省中国画花鸟、人物作品展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江西省美术家协会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JSS0052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全国版画作品展览</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中国美术家协会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JSS0053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全国藏书票暨小版画艺术展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中国美术家协会藏书票研究会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JSS0054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《朝圣敦煌》全国美术作品展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中国美术家协会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JSS0055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江西省数字双年展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江西省美协</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JSS0056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白金创意国际大学生平面设计大赛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中国美术学院</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JSS0057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中国国际大学生设计双年展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中国高等教育学会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JSS0058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靳埭强设计奖</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汕头大学长江艺术与设计学院</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JSS0059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全国高校插图展</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中国美术家协会插图艺术委员会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JSS0060</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中国大学生广告艺术节学院奖</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中国广告协会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JSS0061</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全国大中学生海洋文化创意设计大赛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国家海洋局宣传教育中心、中国海洋大学、国家海洋局北海分局</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JSS0062</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中国手绘艺术设计大赛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中国建筑学会室内设计分会、中国手绘艺术设计大赛组委会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JSS0063</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“新人杯”全国大学生室内设计竞赛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中国建筑学会室内设计分会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JSS0064</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江西省大学生市场调查大赛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江西省统计学会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JSS0065</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中国高校地理科学展示大赛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中国地理学会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JSS0066</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江西省研究生创新创业学术交流论坛生态学学科分论坛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江西农业大学，江西省高校生态学科联盟</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JSS0067</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江西省体育舞蹈锦标赛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江西省音乐舞蹈艺术表演协会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JSS0068</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江西省健美操锦标赛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江西省大学生体育协会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60"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JSS0069</w:t>
            </w:r>
          </w:p>
        </w:tc>
        <w:tc>
          <w:tcPr>
            <w:tcW w:w="368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江西省足球锦标赛</w:t>
            </w:r>
          </w:p>
        </w:tc>
        <w:tc>
          <w:tcPr>
            <w:tcW w:w="3177" w:type="dxa"/>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江西省足球协会</w:t>
            </w:r>
          </w:p>
        </w:tc>
        <w:tc>
          <w:tcPr>
            <w:tcW w:w="1188" w:type="dxa"/>
            <w:tcBorders>
              <w:top w:val="single" w:color="000000" w:sz="8" w:space="0"/>
              <w:left w:val="single" w:color="000000" w:sz="8" w:space="0"/>
              <w:bottom w:val="single" w:color="000000" w:sz="8" w:space="0"/>
              <w:right w:val="single" w:color="000000" w:sz="8"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sz w:val="22"/>
                <w:szCs w:val="22"/>
                <w:bdr w:val="none" w:color="auto" w:sz="0" w:space="0"/>
                <w:lang w:val="en-US"/>
              </w:rPr>
            </w:pPr>
            <w:r>
              <w:rPr>
                <w:rFonts w:hint="eastAsia" w:ascii="仿宋_GB2312" w:hAnsi="宋体" w:eastAsia="仿宋_GB2312" w:cs="仿宋_GB2312"/>
                <w:kern w:val="0"/>
                <w:sz w:val="22"/>
                <w:szCs w:val="22"/>
                <w:bdr w:val="none" w:color="auto" w:sz="0" w:space="0"/>
                <w:lang w:val="en-US" w:eastAsia="zh-CN" w:bidi="ar"/>
              </w:rPr>
              <w:t>省级B类</w:t>
            </w:r>
          </w:p>
        </w:tc>
      </w:tr>
    </w:tbl>
    <w:p>
      <w:pPr>
        <w:keepNext w:val="0"/>
        <w:keepLines w:val="0"/>
        <w:widowControl w:val="0"/>
        <w:suppressLineNumbers w:val="0"/>
        <w:spacing w:before="0" w:beforeAutospacing="0" w:after="0" w:afterAutospacing="0"/>
        <w:ind w:left="0" w:right="0" w:firstLine="562" w:firstLineChars="200"/>
        <w:jc w:val="both"/>
        <w:rPr>
          <w:rFonts w:hint="eastAsia" w:ascii="仿宋_GB2312" w:hAnsi="仿宋" w:eastAsia="仿宋_GB2312" w:cs="仿宋_GB2312"/>
          <w:b/>
          <w:bCs w:val="0"/>
          <w:kern w:val="0"/>
          <w:sz w:val="28"/>
          <w:szCs w:val="28"/>
          <w:lang w:val="en-US" w:bidi="ar"/>
        </w:rPr>
      </w:pPr>
      <w:r>
        <w:rPr>
          <w:rFonts w:hint="eastAsia" w:ascii="仿宋_GB2312" w:hAnsi="仿宋" w:eastAsia="仿宋_GB2312" w:cs="仿宋_GB2312"/>
          <w:b/>
          <w:bCs w:val="0"/>
          <w:kern w:val="0"/>
          <w:sz w:val="28"/>
          <w:szCs w:val="28"/>
          <w:lang w:val="en-US" w:eastAsia="zh-CN" w:bidi="ar"/>
        </w:rPr>
        <w:t>备注：宜春学院大学生管理建设项目分类结果根据每年中国高等教育学会发布的学科竞赛排行榜实行动态调整。</w:t>
      </w:r>
    </w:p>
    <w:p>
      <w:pPr>
        <w:keepNext w:val="0"/>
        <w:keepLines w:val="0"/>
        <w:widowControl w:val="0"/>
        <w:suppressLineNumbers w:val="0"/>
        <w:spacing w:before="0" w:beforeAutospacing="0" w:after="0" w:afterAutospacing="0"/>
        <w:ind w:left="0" w:right="0" w:firstLine="562" w:firstLineChars="200"/>
        <w:jc w:val="both"/>
        <w:rPr>
          <w:rFonts w:hint="eastAsia" w:ascii="仿宋_GB2312" w:hAnsi="仿宋" w:eastAsia="仿宋_GB2312" w:cs="仿宋_GB2312"/>
          <w:b/>
          <w:bCs w:val="0"/>
          <w:kern w:val="0"/>
          <w:sz w:val="28"/>
          <w:szCs w:val="28"/>
          <w:lang w:val="en-US" w:bidi="ar"/>
        </w:rPr>
      </w:pPr>
    </w:p>
    <w:p>
      <w:pPr>
        <w:keepNext w:val="0"/>
        <w:keepLines w:val="0"/>
        <w:widowControl w:val="0"/>
        <w:suppressLineNumbers w:val="0"/>
        <w:spacing w:before="0" w:beforeAutospacing="0" w:after="0" w:afterAutospacing="0"/>
        <w:ind w:left="0" w:right="0" w:firstLine="562" w:firstLineChars="200"/>
        <w:jc w:val="both"/>
        <w:rPr>
          <w:rFonts w:hint="eastAsia" w:ascii="仿宋_GB2312" w:hAnsi="仿宋" w:eastAsia="仿宋_GB2312" w:cs="仿宋_GB2312"/>
          <w:b/>
          <w:bCs w:val="0"/>
          <w:kern w:val="0"/>
          <w:sz w:val="28"/>
          <w:szCs w:val="28"/>
          <w:lang w:val="en-US" w:bidi="ar"/>
        </w:rPr>
      </w:pPr>
    </w:p>
    <w:p>
      <w:pPr>
        <w:keepNext w:val="0"/>
        <w:keepLines w:val="0"/>
        <w:widowControl w:val="0"/>
        <w:suppressLineNumbers w:val="0"/>
        <w:spacing w:before="0" w:beforeAutospacing="0" w:after="0" w:afterAutospacing="0"/>
        <w:ind w:left="0" w:right="0" w:firstLine="562" w:firstLineChars="200"/>
        <w:jc w:val="both"/>
        <w:rPr>
          <w:rFonts w:hint="eastAsia" w:ascii="仿宋_GB2312" w:hAnsi="仿宋" w:eastAsia="仿宋_GB2312" w:cs="仿宋_GB2312"/>
          <w:b/>
          <w:bCs w:val="0"/>
          <w:kern w:val="0"/>
          <w:sz w:val="28"/>
          <w:szCs w:val="28"/>
          <w:lang w:val="en-US"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仿宋_GB2312"/>
          <w:bCs/>
          <w:sz w:val="32"/>
          <w:szCs w:val="32"/>
          <w:lang w:val="en-US"/>
        </w:rPr>
      </w:pPr>
      <w:r>
        <w:rPr>
          <w:rFonts w:hint="eastAsia" w:ascii="黑体" w:hAnsi="宋体" w:eastAsia="黑体" w:cs="仿宋_GB2312"/>
          <w:bCs/>
          <w:kern w:val="2"/>
          <w:sz w:val="32"/>
          <w:szCs w:val="32"/>
          <w:lang w:val="en-US" w:eastAsia="zh-CN" w:bidi="ar"/>
        </w:rPr>
        <w:br w:type="page"/>
      </w:r>
      <w:r>
        <w:rPr>
          <w:rFonts w:hint="eastAsia" w:ascii="黑体" w:hAnsi="宋体" w:eastAsia="黑体" w:cs="仿宋_GB2312"/>
          <w:bCs/>
          <w:kern w:val="2"/>
          <w:sz w:val="32"/>
          <w:szCs w:val="32"/>
          <w:lang w:val="en-US" w:eastAsia="zh-CN" w:bidi="ar"/>
        </w:rPr>
        <w:t>附件2</w:t>
      </w:r>
    </w:p>
    <w:p>
      <w:pPr>
        <w:keepNext w:val="0"/>
        <w:keepLines w:val="0"/>
        <w:widowControl w:val="0"/>
        <w:suppressLineNumbers w:val="0"/>
        <w:spacing w:before="0" w:beforeAutospacing="0" w:after="0" w:afterAutospacing="0"/>
        <w:ind w:left="0" w:right="0"/>
        <w:jc w:val="center"/>
        <w:rPr>
          <w:rFonts w:hint="eastAsia" w:ascii="宋体" w:hAnsi="Calibri" w:eastAsia="宋体" w:cs="宋体"/>
          <w:b/>
          <w:bCs w:val="0"/>
          <w:sz w:val="32"/>
          <w:szCs w:val="32"/>
          <w:lang w:val="en-US"/>
        </w:rPr>
      </w:pPr>
      <w:r>
        <w:rPr>
          <w:rFonts w:hint="eastAsia" w:ascii="宋体" w:hAnsi="宋体" w:eastAsia="宋体" w:cs="仿宋_GB2312"/>
          <w:b/>
          <w:bCs w:val="0"/>
          <w:kern w:val="2"/>
          <w:sz w:val="32"/>
          <w:szCs w:val="32"/>
          <w:lang w:val="en-US" w:eastAsia="zh-CN" w:bidi="ar"/>
        </w:rPr>
        <w:t>宜春学院年大学生能力建设项目申报书</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val="0"/>
          <w:sz w:val="32"/>
          <w:szCs w:val="32"/>
          <w:lang w:val="en-US"/>
        </w:rPr>
      </w:pPr>
      <w:r>
        <w:rPr>
          <w:rFonts w:hint="eastAsia" w:ascii="仿宋_GB2312" w:hAnsi="宋体" w:eastAsia="仿宋_GB2312" w:cs="仿宋_GB2312"/>
          <w:b/>
          <w:bCs w:val="0"/>
          <w:kern w:val="2"/>
          <w:sz w:val="32"/>
          <w:szCs w:val="32"/>
          <w:lang w:val="en-US" w:eastAsia="zh-CN" w:bidi="ar"/>
        </w:rPr>
        <w:t>（教学院用）</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bCs w:val="0"/>
          <w:sz w:val="24"/>
          <w:szCs w:val="22"/>
          <w:lang w:val="en-US"/>
        </w:rPr>
      </w:pPr>
      <w:r>
        <w:rPr>
          <w:rFonts w:hint="eastAsia" w:ascii="仿宋_GB2312" w:hAnsi="宋体" w:eastAsia="仿宋_GB2312" w:cs="仿宋_GB2312"/>
          <w:kern w:val="2"/>
          <w:sz w:val="24"/>
          <w:szCs w:val="22"/>
          <w:lang w:val="en-US" w:eastAsia="zh-CN" w:bidi="ar"/>
        </w:rPr>
        <w:t xml:space="preserve">教学院                               时间：   </w:t>
      </w:r>
      <w:r>
        <w:rPr>
          <w:rFonts w:hint="eastAsia" w:ascii="仿宋_GB2312" w:hAnsi="宋体" w:eastAsia="仿宋_GB2312" w:cs="仿宋_GB2312"/>
          <w:kern w:val="2"/>
          <w:sz w:val="24"/>
          <w:szCs w:val="22"/>
          <w:u w:val="single"/>
          <w:lang w:val="en-US" w:eastAsia="zh-CN" w:bidi="ar"/>
        </w:rPr>
        <w:t>年   月   日</w:t>
      </w: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416"/>
        <w:gridCol w:w="1961"/>
        <w:gridCol w:w="11"/>
        <w:gridCol w:w="1262"/>
        <w:gridCol w:w="1261"/>
        <w:gridCol w:w="1471"/>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08" w:hRule="atLeast"/>
          <w:jc w:val="center"/>
        </w:trPr>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项目名称</w:t>
            </w:r>
          </w:p>
        </w:tc>
        <w:tc>
          <w:tcPr>
            <w:tcW w:w="7662"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参加对象</w:t>
            </w:r>
          </w:p>
        </w:tc>
        <w:tc>
          <w:tcPr>
            <w:tcW w:w="197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c>
          <w:tcPr>
            <w:tcW w:w="12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参加人数</w:t>
            </w:r>
          </w:p>
        </w:tc>
        <w:tc>
          <w:tcPr>
            <w:tcW w:w="12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c>
          <w:tcPr>
            <w:tcW w:w="14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项目负责人</w:t>
            </w:r>
          </w:p>
        </w:tc>
        <w:tc>
          <w:tcPr>
            <w:tcW w:w="1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项目类别</w:t>
            </w:r>
          </w:p>
        </w:tc>
        <w:tc>
          <w:tcPr>
            <w:tcW w:w="7662"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bidi="ar"/>
              </w:rPr>
            </w:pPr>
            <w:r>
              <w:rPr>
                <w:rFonts w:hint="eastAsia" w:ascii="仿宋_GB2312" w:hAnsi="宋体" w:eastAsia="仿宋_GB2312" w:cs="仿宋_GB2312"/>
                <w:kern w:val="2"/>
                <w:sz w:val="24"/>
                <w:szCs w:val="22"/>
                <w:bdr w:val="none" w:color="auto" w:sz="0" w:space="0"/>
                <w:lang w:val="en-US" w:eastAsia="zh-CN" w:bidi="ar"/>
              </w:rPr>
              <w:t>□学科竞赛  □专业技能竞赛（在□内打“√”）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bidi="ar"/>
              </w:rPr>
            </w:pPr>
            <w:r>
              <w:rPr>
                <w:rFonts w:hint="eastAsia" w:ascii="仿宋_GB2312" w:hAnsi="宋体" w:eastAsia="仿宋_GB2312" w:cs="仿宋_GB2312"/>
                <w:kern w:val="2"/>
                <w:sz w:val="24"/>
                <w:szCs w:val="22"/>
                <w:bdr w:val="none" w:color="auto" w:sz="0" w:space="0"/>
                <w:lang w:val="en-US" w:eastAsia="zh-CN" w:bidi="ar"/>
              </w:rPr>
              <w:t>项目级别</w:t>
            </w:r>
          </w:p>
        </w:tc>
        <w:tc>
          <w:tcPr>
            <w:tcW w:w="7662"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sz w:val="24"/>
                <w:szCs w:val="22"/>
                <w:bdr w:val="none" w:color="auto" w:sz="0" w:space="0"/>
                <w:lang w:val="en-US" w:bidi="ar"/>
              </w:rPr>
            </w:pPr>
            <w:r>
              <w:rPr>
                <w:rFonts w:hint="default" w:ascii="仿宋_GB2312" w:hAnsi="Wingdings 2" w:eastAsia="仿宋_GB2312" w:cs="仿宋_GB2312"/>
                <w:kern w:val="2"/>
                <w:sz w:val="24"/>
                <w:szCs w:val="22"/>
                <w:bdr w:val="none" w:color="auto" w:sz="0" w:space="0"/>
                <w:lang w:val="en-US" w:eastAsia="zh-CN" w:bidi="ar"/>
              </w:rPr>
              <w:sym w:font="Wingdings 2" w:char="00A3"/>
            </w:r>
            <w:r>
              <w:rPr>
                <w:rFonts w:hint="eastAsia" w:ascii="仿宋_GB2312" w:hAnsi="宋体" w:eastAsia="仿宋_GB2312" w:cs="仿宋_GB2312"/>
                <w:kern w:val="2"/>
                <w:sz w:val="24"/>
                <w:szCs w:val="22"/>
                <w:bdr w:val="none" w:color="auto" w:sz="0" w:space="0"/>
                <w:lang w:val="en-US" w:eastAsia="zh-CN" w:bidi="ar"/>
              </w:rPr>
              <w:t xml:space="preserve">国家级A类  </w:t>
            </w:r>
            <w:r>
              <w:rPr>
                <w:rFonts w:hint="default" w:ascii="仿宋_GB2312" w:hAnsi="Wingdings 2" w:eastAsia="仿宋_GB2312" w:cs="仿宋_GB2312"/>
                <w:kern w:val="2"/>
                <w:sz w:val="24"/>
                <w:szCs w:val="22"/>
                <w:bdr w:val="none" w:color="auto" w:sz="0" w:space="0"/>
                <w:lang w:val="en-US" w:eastAsia="zh-CN" w:bidi="ar"/>
              </w:rPr>
              <w:sym w:font="Wingdings 2" w:char="00A3"/>
            </w:r>
            <w:r>
              <w:rPr>
                <w:rFonts w:hint="eastAsia" w:ascii="仿宋_GB2312" w:hAnsi="宋体" w:eastAsia="仿宋_GB2312" w:cs="仿宋_GB2312"/>
                <w:kern w:val="2"/>
                <w:sz w:val="24"/>
                <w:szCs w:val="22"/>
                <w:bdr w:val="none" w:color="auto" w:sz="0" w:space="0"/>
                <w:lang w:val="en-US" w:eastAsia="zh-CN" w:bidi="ar"/>
              </w:rPr>
              <w:t>国家级B类  □国家级C类</w:t>
            </w:r>
          </w:p>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sz w:val="24"/>
                <w:szCs w:val="22"/>
                <w:bdr w:val="none" w:color="auto" w:sz="0" w:space="0"/>
                <w:lang w:val="en-US" w:bidi="ar"/>
              </w:rPr>
            </w:pPr>
            <w:r>
              <w:rPr>
                <w:rFonts w:hint="eastAsia" w:ascii="仿宋_GB2312" w:hAnsi="宋体" w:eastAsia="仿宋_GB2312" w:cs="仿宋_GB2312"/>
                <w:kern w:val="2"/>
                <w:sz w:val="24"/>
                <w:szCs w:val="22"/>
                <w:bdr w:val="none" w:color="auto" w:sz="0" w:space="0"/>
                <w:lang w:val="en-US" w:eastAsia="zh-CN" w:bidi="ar"/>
              </w:rPr>
              <w:t>□省级A类    □省级B类    □省级C类</w:t>
            </w:r>
          </w:p>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sz w:val="24"/>
                <w:szCs w:val="22"/>
                <w:bdr w:val="none" w:color="auto" w:sz="0" w:space="0"/>
                <w:lang w:val="en-US" w:bidi="ar"/>
              </w:rPr>
            </w:pPr>
            <w:r>
              <w:rPr>
                <w:rFonts w:hint="default" w:ascii="仿宋_GB2312" w:hAnsi="Wingdings 2" w:eastAsia="仿宋_GB2312" w:cs="仿宋_GB2312"/>
                <w:kern w:val="2"/>
                <w:sz w:val="24"/>
                <w:szCs w:val="22"/>
                <w:bdr w:val="none" w:color="auto" w:sz="0" w:space="0"/>
                <w:lang w:val="en-US" w:eastAsia="zh-CN" w:bidi="ar"/>
              </w:rPr>
              <w:sym w:font="Wingdings 2" w:char="00A3"/>
            </w:r>
            <w:r>
              <w:rPr>
                <w:rFonts w:hint="eastAsia" w:ascii="仿宋_GB2312" w:hAnsi="宋体" w:eastAsia="仿宋_GB2312" w:cs="仿宋_GB2312"/>
                <w:kern w:val="2"/>
                <w:sz w:val="24"/>
                <w:szCs w:val="22"/>
                <w:bdr w:val="none" w:color="auto" w:sz="0" w:space="0"/>
                <w:lang w:val="en-US" w:eastAsia="zh-CN" w:bidi="ar"/>
              </w:rPr>
              <w:t xml:space="preserve">校级        </w:t>
            </w:r>
            <w:r>
              <w:rPr>
                <w:rFonts w:hint="default" w:ascii="仿宋_GB2312" w:hAnsi="Wingdings 2" w:eastAsia="仿宋_GB2312" w:cs="仿宋_GB2312"/>
                <w:kern w:val="2"/>
                <w:sz w:val="24"/>
                <w:szCs w:val="22"/>
                <w:bdr w:val="none" w:color="auto" w:sz="0" w:space="0"/>
                <w:lang w:val="en-US" w:eastAsia="zh-CN" w:bidi="ar"/>
              </w:rPr>
              <w:sym w:font="Wingdings 2" w:char="00A3"/>
            </w:r>
            <w:r>
              <w:rPr>
                <w:rFonts w:hint="eastAsia" w:ascii="仿宋_GB2312" w:hAnsi="宋体" w:eastAsia="仿宋_GB2312" w:cs="仿宋_GB2312"/>
                <w:kern w:val="2"/>
                <w:sz w:val="24"/>
                <w:szCs w:val="22"/>
                <w:bdr w:val="none" w:color="auto" w:sz="0" w:space="0"/>
                <w:lang w:val="en-US" w:eastAsia="zh-CN" w:bidi="ar"/>
              </w:rPr>
              <w:t>其他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bidi="ar"/>
              </w:rPr>
            </w:pPr>
            <w:r>
              <w:rPr>
                <w:rFonts w:hint="eastAsia" w:ascii="仿宋_GB2312" w:hAnsi="宋体" w:eastAsia="仿宋_GB2312" w:cs="仿宋_GB2312"/>
                <w:kern w:val="2"/>
                <w:sz w:val="24"/>
                <w:szCs w:val="22"/>
                <w:bdr w:val="none" w:color="auto" w:sz="0" w:space="0"/>
                <w:lang w:val="en-US" w:eastAsia="zh-CN" w:bidi="ar"/>
              </w:rPr>
              <w:t>比赛形式</w:t>
            </w:r>
          </w:p>
        </w:tc>
        <w:tc>
          <w:tcPr>
            <w:tcW w:w="7662"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bidi="ar"/>
              </w:rPr>
            </w:pPr>
            <w:r>
              <w:rPr>
                <w:rFonts w:hint="eastAsia" w:ascii="仿宋_GB2312" w:hAnsi="宋体" w:eastAsia="仿宋_GB2312" w:cs="仿宋_GB2312"/>
                <w:kern w:val="2"/>
                <w:sz w:val="24"/>
                <w:szCs w:val="22"/>
                <w:bdr w:val="none" w:color="auto" w:sz="0" w:space="0"/>
                <w:lang w:val="en-US" w:eastAsia="zh-CN" w:bidi="ar"/>
              </w:rPr>
              <w:t>□线上   □线下   □线上线下混合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9078"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项目内容及开展的必要性：</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1" w:hRule="atLeast"/>
          <w:jc w:val="center"/>
        </w:trPr>
        <w:tc>
          <w:tcPr>
            <w:tcW w:w="9078"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项目执行计划：</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78"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预期成果或效果：</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9078"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经费预算：</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078"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经费合计：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9078" w:type="dxa"/>
            <w:gridSpan w:val="7"/>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教学院意见：</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教学院（盖章）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教务处意见</w:t>
            </w:r>
          </w:p>
        </w:tc>
        <w:tc>
          <w:tcPr>
            <w:tcW w:w="7662"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9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批准经费</w:t>
            </w:r>
          </w:p>
        </w:tc>
        <w:tc>
          <w:tcPr>
            <w:tcW w:w="5701"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bl>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lang w:val="en-US"/>
        </w:rPr>
      </w:pPr>
    </w:p>
    <w:p>
      <w:pPr>
        <w:keepNext w:val="0"/>
        <w:keepLines w:val="0"/>
        <w:widowControl w:val="0"/>
        <w:suppressLineNumbers w:val="0"/>
        <w:spacing w:before="0" w:beforeAutospacing="0" w:after="0" w:afterAutospacing="0"/>
        <w:ind w:left="0" w:right="0"/>
        <w:jc w:val="center"/>
        <w:rPr>
          <w:rFonts w:hint="eastAsia" w:ascii="宋体" w:hAnsi="Calibri" w:eastAsia="宋体" w:cs="宋体"/>
          <w:b/>
          <w:bCs w:val="0"/>
          <w:sz w:val="36"/>
          <w:szCs w:val="36"/>
          <w:lang w:val="en-US"/>
        </w:rPr>
      </w:pPr>
      <w:r>
        <w:rPr>
          <w:rFonts w:hint="eastAsia" w:ascii="仿宋_GB2312" w:hAnsi="仿宋" w:eastAsia="仿宋_GB2312" w:cs="Times New Roman"/>
          <w:kern w:val="2"/>
          <w:sz w:val="32"/>
          <w:szCs w:val="32"/>
          <w:lang w:val="en-US" w:eastAsia="zh-CN" w:bidi="ar"/>
        </w:rPr>
        <w:br w:type="page"/>
      </w:r>
      <w:r>
        <w:rPr>
          <w:rFonts w:hint="eastAsia" w:ascii="宋体" w:hAnsi="宋体" w:eastAsia="宋体" w:cs="仿宋_GB2312"/>
          <w:b/>
          <w:bCs w:val="0"/>
          <w:kern w:val="2"/>
          <w:sz w:val="36"/>
          <w:szCs w:val="36"/>
          <w:lang w:val="en-US" w:eastAsia="zh-CN" w:bidi="ar"/>
        </w:rPr>
        <w:t>宜春学院年大学生能力建设项目申报书</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val="0"/>
          <w:sz w:val="32"/>
          <w:szCs w:val="32"/>
          <w:lang w:val="en-US"/>
        </w:rPr>
      </w:pPr>
      <w:r>
        <w:rPr>
          <w:rFonts w:hint="eastAsia" w:ascii="仿宋_GB2312" w:hAnsi="宋体" w:eastAsia="仿宋_GB2312" w:cs="仿宋_GB2312"/>
          <w:b/>
          <w:bCs w:val="0"/>
          <w:kern w:val="2"/>
          <w:sz w:val="32"/>
          <w:szCs w:val="32"/>
          <w:lang w:val="en-US" w:eastAsia="zh-CN" w:bidi="ar"/>
        </w:rPr>
        <w:t>（社团用）</w:t>
      </w:r>
    </w:p>
    <w:p>
      <w:pPr>
        <w:keepNext w:val="0"/>
        <w:keepLines w:val="0"/>
        <w:widowControl w:val="0"/>
        <w:suppressLineNumbers w:val="0"/>
        <w:spacing w:before="0" w:beforeAutospacing="0" w:after="0" w:afterAutospacing="0"/>
        <w:ind w:left="0" w:right="0" w:firstLine="240" w:firstLineChars="100"/>
        <w:jc w:val="both"/>
        <w:rPr>
          <w:rFonts w:hint="eastAsia" w:ascii="仿宋_GB2312" w:eastAsia="仿宋_GB2312" w:cs="仿宋_GB2312"/>
          <w:b/>
          <w:bCs w:val="0"/>
          <w:sz w:val="24"/>
          <w:szCs w:val="22"/>
          <w:lang w:val="en-US"/>
        </w:rPr>
      </w:pPr>
      <w:r>
        <w:rPr>
          <w:rFonts w:hint="eastAsia" w:ascii="仿宋_GB2312" w:hAnsi="宋体" w:eastAsia="仿宋_GB2312" w:cs="仿宋_GB2312"/>
          <w:kern w:val="2"/>
          <w:sz w:val="24"/>
          <w:szCs w:val="22"/>
          <w:lang w:val="en-US" w:eastAsia="zh-CN" w:bidi="ar"/>
        </w:rPr>
        <w:t xml:space="preserve">社团                                         时间：    </w:t>
      </w:r>
      <w:r>
        <w:rPr>
          <w:rFonts w:hint="eastAsia" w:ascii="仿宋_GB2312" w:hAnsi="宋体" w:eastAsia="仿宋_GB2312" w:cs="仿宋_GB2312"/>
          <w:kern w:val="2"/>
          <w:sz w:val="24"/>
          <w:szCs w:val="22"/>
          <w:u w:val="single"/>
          <w:lang w:val="en-US" w:eastAsia="zh-CN" w:bidi="ar"/>
        </w:rPr>
        <w:t>年   月   日</w:t>
      </w:r>
    </w:p>
    <w:tbl>
      <w:tblPr>
        <w:tblStyle w:val="9"/>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416"/>
        <w:gridCol w:w="1440"/>
        <w:gridCol w:w="1356"/>
        <w:gridCol w:w="1011"/>
        <w:gridCol w:w="147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08" w:hRule="atLeast"/>
          <w:jc w:val="center"/>
        </w:trPr>
        <w:tc>
          <w:tcPr>
            <w:tcW w:w="14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项目名称</w:t>
            </w:r>
          </w:p>
        </w:tc>
        <w:tc>
          <w:tcPr>
            <w:tcW w:w="380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c>
          <w:tcPr>
            <w:tcW w:w="14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项目负责人</w:t>
            </w:r>
          </w:p>
        </w:tc>
        <w:tc>
          <w:tcPr>
            <w:tcW w:w="1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参加对象</w:t>
            </w: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c>
          <w:tcPr>
            <w:tcW w:w="1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参加人数</w:t>
            </w:r>
          </w:p>
        </w:tc>
        <w:tc>
          <w:tcPr>
            <w:tcW w:w="1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c>
          <w:tcPr>
            <w:tcW w:w="14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指导老师</w:t>
            </w:r>
          </w:p>
        </w:tc>
        <w:tc>
          <w:tcPr>
            <w:tcW w:w="16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项目类别</w:t>
            </w:r>
          </w:p>
        </w:tc>
        <w:tc>
          <w:tcPr>
            <w:tcW w:w="6929"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□学科竞赛   □专业技能竞赛（在□内打“√”）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bidi="ar"/>
              </w:rPr>
            </w:pPr>
            <w:r>
              <w:rPr>
                <w:rFonts w:hint="eastAsia" w:ascii="仿宋_GB2312" w:hAnsi="宋体" w:eastAsia="仿宋_GB2312" w:cs="仿宋_GB2312"/>
                <w:kern w:val="2"/>
                <w:sz w:val="24"/>
                <w:szCs w:val="22"/>
                <w:bdr w:val="none" w:color="auto" w:sz="0" w:space="0"/>
                <w:lang w:val="en-US" w:eastAsia="zh-CN" w:bidi="ar"/>
              </w:rPr>
              <w:t>项目级别</w:t>
            </w:r>
          </w:p>
        </w:tc>
        <w:tc>
          <w:tcPr>
            <w:tcW w:w="6929"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sz w:val="24"/>
                <w:szCs w:val="22"/>
                <w:bdr w:val="none" w:color="auto" w:sz="0" w:space="0"/>
                <w:lang w:val="en-US" w:bidi="ar"/>
              </w:rPr>
            </w:pPr>
            <w:r>
              <w:rPr>
                <w:rFonts w:hint="default" w:ascii="仿宋_GB2312" w:hAnsi="Wingdings 2" w:eastAsia="仿宋_GB2312" w:cs="仿宋_GB2312"/>
                <w:kern w:val="2"/>
                <w:sz w:val="24"/>
                <w:szCs w:val="22"/>
                <w:bdr w:val="none" w:color="auto" w:sz="0" w:space="0"/>
                <w:lang w:val="en-US" w:eastAsia="zh-CN" w:bidi="ar"/>
              </w:rPr>
              <w:sym w:font="Wingdings 2" w:char="00A3"/>
            </w:r>
            <w:r>
              <w:rPr>
                <w:rFonts w:hint="eastAsia" w:ascii="仿宋_GB2312" w:hAnsi="宋体" w:eastAsia="仿宋_GB2312" w:cs="仿宋_GB2312"/>
                <w:kern w:val="2"/>
                <w:sz w:val="24"/>
                <w:szCs w:val="22"/>
                <w:bdr w:val="none" w:color="auto" w:sz="0" w:space="0"/>
                <w:lang w:val="en-US" w:eastAsia="zh-CN" w:bidi="ar"/>
              </w:rPr>
              <w:t xml:space="preserve">国家级A类  </w:t>
            </w:r>
            <w:r>
              <w:rPr>
                <w:rFonts w:hint="default" w:ascii="仿宋_GB2312" w:hAnsi="Wingdings 2" w:eastAsia="仿宋_GB2312" w:cs="仿宋_GB2312"/>
                <w:kern w:val="2"/>
                <w:sz w:val="24"/>
                <w:szCs w:val="22"/>
                <w:bdr w:val="none" w:color="auto" w:sz="0" w:space="0"/>
                <w:lang w:val="en-US" w:eastAsia="zh-CN" w:bidi="ar"/>
              </w:rPr>
              <w:sym w:font="Wingdings 2" w:char="00A3"/>
            </w:r>
            <w:r>
              <w:rPr>
                <w:rFonts w:hint="eastAsia" w:ascii="仿宋_GB2312" w:hAnsi="宋体" w:eastAsia="仿宋_GB2312" w:cs="仿宋_GB2312"/>
                <w:kern w:val="2"/>
                <w:sz w:val="24"/>
                <w:szCs w:val="22"/>
                <w:bdr w:val="none" w:color="auto" w:sz="0" w:space="0"/>
                <w:lang w:val="en-US" w:eastAsia="zh-CN" w:bidi="ar"/>
              </w:rPr>
              <w:t>国家级B类  □国家级C类</w:t>
            </w:r>
          </w:p>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sz w:val="24"/>
                <w:szCs w:val="22"/>
                <w:bdr w:val="none" w:color="auto" w:sz="0" w:space="0"/>
                <w:lang w:val="en-US" w:bidi="ar"/>
              </w:rPr>
            </w:pPr>
            <w:r>
              <w:rPr>
                <w:rFonts w:hint="eastAsia" w:ascii="仿宋_GB2312" w:hAnsi="宋体" w:eastAsia="仿宋_GB2312" w:cs="仿宋_GB2312"/>
                <w:kern w:val="2"/>
                <w:sz w:val="24"/>
                <w:szCs w:val="22"/>
                <w:bdr w:val="none" w:color="auto" w:sz="0" w:space="0"/>
                <w:lang w:val="en-US" w:eastAsia="zh-CN" w:bidi="ar"/>
              </w:rPr>
              <w:t>□省级A类    □省级B类    □省级C类</w:t>
            </w:r>
          </w:p>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sz w:val="24"/>
                <w:szCs w:val="22"/>
                <w:bdr w:val="none" w:color="auto" w:sz="0" w:space="0"/>
                <w:lang w:val="en-US" w:bidi="ar"/>
              </w:rPr>
            </w:pPr>
            <w:r>
              <w:rPr>
                <w:rFonts w:hint="default" w:ascii="仿宋_GB2312" w:hAnsi="Wingdings 2" w:eastAsia="仿宋_GB2312" w:cs="仿宋_GB2312"/>
                <w:kern w:val="2"/>
                <w:sz w:val="24"/>
                <w:szCs w:val="22"/>
                <w:bdr w:val="none" w:color="auto" w:sz="0" w:space="0"/>
                <w:lang w:val="en-US" w:eastAsia="zh-CN" w:bidi="ar"/>
              </w:rPr>
              <w:sym w:font="Wingdings 2" w:char="00A3"/>
            </w:r>
            <w:r>
              <w:rPr>
                <w:rFonts w:hint="eastAsia" w:ascii="仿宋_GB2312" w:hAnsi="宋体" w:eastAsia="仿宋_GB2312" w:cs="仿宋_GB2312"/>
                <w:kern w:val="2"/>
                <w:sz w:val="24"/>
                <w:szCs w:val="22"/>
                <w:bdr w:val="none" w:color="auto" w:sz="0" w:space="0"/>
                <w:lang w:val="en-US" w:eastAsia="zh-CN" w:bidi="ar"/>
              </w:rPr>
              <w:t xml:space="preserve">校级        </w:t>
            </w:r>
            <w:r>
              <w:rPr>
                <w:rFonts w:hint="default" w:ascii="仿宋_GB2312" w:hAnsi="Wingdings 2" w:eastAsia="仿宋_GB2312" w:cs="仿宋_GB2312"/>
                <w:kern w:val="2"/>
                <w:sz w:val="24"/>
                <w:szCs w:val="22"/>
                <w:bdr w:val="none" w:color="auto" w:sz="0" w:space="0"/>
                <w:lang w:val="en-US" w:eastAsia="zh-CN" w:bidi="ar"/>
              </w:rPr>
              <w:sym w:font="Wingdings 2" w:char="00A3"/>
            </w:r>
            <w:r>
              <w:rPr>
                <w:rFonts w:hint="eastAsia" w:ascii="仿宋_GB2312" w:hAnsi="宋体" w:eastAsia="仿宋_GB2312" w:cs="仿宋_GB2312"/>
                <w:kern w:val="2"/>
                <w:sz w:val="24"/>
                <w:szCs w:val="22"/>
                <w:bdr w:val="none" w:color="auto" w:sz="0" w:space="0"/>
                <w:lang w:val="en-US" w:eastAsia="zh-CN" w:bidi="ar"/>
              </w:rPr>
              <w:t>其他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bidi="ar"/>
              </w:rPr>
            </w:pPr>
            <w:r>
              <w:rPr>
                <w:rFonts w:hint="eastAsia" w:ascii="仿宋_GB2312" w:hAnsi="宋体" w:eastAsia="仿宋_GB2312" w:cs="仿宋_GB2312"/>
                <w:kern w:val="2"/>
                <w:sz w:val="24"/>
                <w:szCs w:val="22"/>
                <w:bdr w:val="none" w:color="auto" w:sz="0" w:space="0"/>
                <w:lang w:val="en-US" w:eastAsia="zh-CN" w:bidi="ar"/>
              </w:rPr>
              <w:t>比赛形式</w:t>
            </w:r>
          </w:p>
        </w:tc>
        <w:tc>
          <w:tcPr>
            <w:tcW w:w="6929"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bidi="ar"/>
              </w:rPr>
            </w:pPr>
            <w:r>
              <w:rPr>
                <w:rFonts w:hint="eastAsia" w:ascii="仿宋_GB2312" w:hAnsi="宋体" w:eastAsia="仿宋_GB2312" w:cs="仿宋_GB2312"/>
                <w:kern w:val="2"/>
                <w:sz w:val="24"/>
                <w:szCs w:val="22"/>
                <w:bdr w:val="none" w:color="auto" w:sz="0" w:space="0"/>
                <w:lang w:val="en-US" w:eastAsia="zh-CN" w:bidi="ar"/>
              </w:rPr>
              <w:t>□线上   □线下   □线上线下混合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8345"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项目内容及开展的必要性：</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9" w:hRule="atLeast"/>
          <w:jc w:val="center"/>
        </w:trPr>
        <w:tc>
          <w:tcPr>
            <w:tcW w:w="8345"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项目执行计划：</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345"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预期成果或效果：</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8345"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经费预算：</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345"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经费合计：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8345"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团委意见：</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团委（盖章）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教务处意见</w:t>
            </w:r>
          </w:p>
        </w:tc>
        <w:tc>
          <w:tcPr>
            <w:tcW w:w="6929"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r>
              <w:rPr>
                <w:rFonts w:hint="eastAsia" w:ascii="仿宋_GB2312" w:hAnsi="宋体" w:eastAsia="仿宋_GB2312" w:cs="仿宋_GB2312"/>
                <w:kern w:val="2"/>
                <w:sz w:val="24"/>
                <w:szCs w:val="22"/>
                <w:bdr w:val="none" w:color="auto" w:sz="0" w:space="0"/>
                <w:lang w:val="en-US" w:eastAsia="zh-CN" w:bidi="ar"/>
              </w:rPr>
              <w:t>批准经费</w:t>
            </w:r>
          </w:p>
        </w:tc>
        <w:tc>
          <w:tcPr>
            <w:tcW w:w="5489"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24"/>
                <w:szCs w:val="22"/>
                <w:bdr w:val="none" w:color="auto" w:sz="0" w:space="0"/>
                <w:lang w:val="en-US"/>
              </w:rPr>
            </w:pP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bCs/>
          <w:sz w:val="32"/>
          <w:szCs w:val="32"/>
          <w:lang w:val="en-US"/>
        </w:rPr>
      </w:pPr>
      <w:r>
        <w:rPr>
          <w:rFonts w:hint="eastAsia" w:ascii="黑体" w:hAnsi="宋体" w:eastAsia="黑体" w:cs="仿宋_GB2312"/>
          <w:bCs/>
          <w:kern w:val="2"/>
          <w:sz w:val="32"/>
          <w:szCs w:val="32"/>
          <w:lang w:val="en-US" w:eastAsia="zh-CN" w:bidi="ar"/>
        </w:rPr>
        <w:t>附件3</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6"/>
          <w:szCs w:val="36"/>
          <w:lang w:val="en-US"/>
        </w:rPr>
      </w:pPr>
      <w:r>
        <w:rPr>
          <w:rFonts w:hint="eastAsia" w:ascii="宋体" w:hAnsi="宋体" w:eastAsia="宋体" w:cs="仿宋_GB2312"/>
          <w:b/>
          <w:kern w:val="2"/>
          <w:sz w:val="36"/>
          <w:szCs w:val="36"/>
          <w:lang w:val="en-US" w:eastAsia="zh-CN" w:bidi="ar"/>
        </w:rPr>
        <w:t>宜春学院大学生能力建设项目总结材料清单</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b/>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1、项目申报书</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2、比赛通知</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3、项目实施方案（含赛前辅导计划）</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4、参赛留底照片</w:t>
      </w:r>
    </w:p>
    <w:p>
      <w:pPr>
        <w:keepNext w:val="0"/>
        <w:keepLines w:val="0"/>
        <w:widowControl w:val="0"/>
        <w:suppressLineNumbers w:val="0"/>
        <w:tabs>
          <w:tab w:val="left" w:pos="4860"/>
        </w:tabs>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5、获奖情况</w:t>
      </w:r>
      <w:r>
        <w:rPr>
          <w:rFonts w:hint="eastAsia" w:ascii="仿宋_GB2312" w:hAnsi="Calibri" w:eastAsia="仿宋_GB2312" w:cs="仿宋_GB2312"/>
          <w:kern w:val="2"/>
          <w:sz w:val="32"/>
          <w:szCs w:val="32"/>
          <w:lang w:val="en-US" w:eastAsia="zh-CN" w:bidi="ar"/>
        </w:rPr>
        <w:tab/>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6、个别获奖师生感言</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7、经费使用情况</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8、活动总结</w:t>
      </w: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b/>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b/>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b/>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b/>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bCs/>
          <w:kern w:val="0"/>
          <w:sz w:val="32"/>
          <w:szCs w:val="32"/>
          <w:lang w:val="en-US"/>
        </w:rPr>
      </w:pPr>
      <w:r>
        <w:rPr>
          <w:rFonts w:hint="eastAsia" w:ascii="黑体" w:hAnsi="宋体" w:eastAsia="黑体" w:cs="仿宋_GB2312"/>
          <w:bCs/>
          <w:sz w:val="32"/>
          <w:szCs w:val="32"/>
          <w:lang w:val="en-US" w:eastAsia="zh-CN" w:bidi="ar"/>
        </w:rPr>
        <w:br w:type="page"/>
      </w:r>
      <w:r>
        <w:rPr>
          <w:rFonts w:hint="eastAsia" w:ascii="黑体" w:hAnsi="宋体" w:eastAsia="黑体" w:cs="仿宋_GB2312"/>
          <w:bCs/>
          <w:kern w:val="0"/>
          <w:sz w:val="32"/>
          <w:szCs w:val="32"/>
          <w:lang w:val="en-US" w:eastAsia="zh-CN" w:bidi="ar"/>
        </w:rPr>
        <w:t>附件4</w:t>
      </w: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kern w:val="0"/>
          <w:sz w:val="32"/>
          <w:szCs w:val="32"/>
          <w:lang w:val="en-US"/>
        </w:rPr>
      </w:pPr>
      <w:r>
        <w:rPr>
          <w:rFonts w:hint="eastAsia" w:ascii="宋体" w:hAnsi="宋体" w:eastAsia="宋体" w:cs="仿宋_GB2312"/>
          <w:b/>
          <w:kern w:val="0"/>
          <w:sz w:val="32"/>
          <w:szCs w:val="32"/>
          <w:lang w:val="en-US" w:eastAsia="zh-CN" w:bidi="ar"/>
        </w:rPr>
        <w:t>宜春学院大学生能力建设项目开展流程图</w:t>
      </w: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kern w:val="0"/>
          <w:sz w:val="32"/>
          <w:szCs w:val="32"/>
          <w:lang w:val="en-US"/>
        </w:rPr>
      </w:pPr>
    </w:p>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kern w:val="0"/>
          <w:sz w:val="28"/>
          <w:szCs w:val="28"/>
          <w:lang w:val="en-US"/>
        </w:rPr>
      </w:pP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51632640" behindDoc="1" locked="0" layoutInCell="1" allowOverlap="1">
                <wp:simplePos x="0" y="0"/>
                <wp:positionH relativeFrom="column">
                  <wp:posOffset>969645</wp:posOffset>
                </wp:positionH>
                <wp:positionV relativeFrom="paragraph">
                  <wp:posOffset>87630</wp:posOffset>
                </wp:positionV>
                <wp:extent cx="3818890" cy="409575"/>
                <wp:effectExtent l="4445" t="4445" r="17145" b="12700"/>
                <wp:wrapTight wrapText="bothSides">
                  <wp:wrapPolygon>
                    <wp:start x="-25" y="-234"/>
                    <wp:lineTo x="-25" y="21466"/>
                    <wp:lineTo x="21525" y="21466"/>
                    <wp:lineTo x="21525" y="-234"/>
                    <wp:lineTo x="-25" y="-234"/>
                  </wp:wrapPolygon>
                </wp:wrapTight>
                <wp:docPr id="2" name="矩形 54"/>
                <wp:cNvGraphicFramePr/>
                <a:graphic xmlns:a="http://schemas.openxmlformats.org/drawingml/2006/main">
                  <a:graphicData uri="http://schemas.microsoft.com/office/word/2010/wordprocessingShape">
                    <wps:wsp>
                      <wps:cNvSpPr/>
                      <wps:spPr>
                        <a:xfrm>
                          <a:off x="0" y="0"/>
                          <a:ext cx="3818890"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教务处下发通知，组织大学生能力建设项目申报</w:t>
                            </w:r>
                          </w:p>
                        </w:txbxContent>
                      </wps:txbx>
                      <wps:bodyPr upright="1"/>
                    </wps:wsp>
                  </a:graphicData>
                </a:graphic>
              </wp:anchor>
            </w:drawing>
          </mc:Choice>
          <mc:Fallback>
            <w:pict>
              <v:rect id="矩形 54" o:spid="_x0000_s1026" o:spt="1" style="position:absolute;left:0pt;margin-left:76.35pt;margin-top:6.9pt;height:32.25pt;width:300.7pt;mso-wrap-distance-left:9pt;mso-wrap-distance-right:9pt;z-index:-251683840;mso-width-relative:page;mso-height-relative:page;" fillcolor="#FFFFFF" filled="t" stroked="t" coordsize="21600,21600" wrapcoords="-25 -234 -25 21466 21525 21466 21525 -234 -25 -234" o:gfxdata="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SZ1H9cA&#10;AAAJAQAADwAAAAAAAAABACAAAAAiAAAAZHJzL2Rvd25yZXYueG1sUEsBAhQAFAAAAAgAh07iQDEA&#10;UjjnAQAA3AMAAA4AAAAAAAAAAQAgAAAAJgEAAGRycy9lMm9Eb2MueG1sUEsFBgAAAAAGAAYAWQEA&#10;AH8F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教务处下发通知，组织大学生能力建设项目申报</w:t>
                      </w:r>
                    </w:p>
                  </w:txbxContent>
                </v:textbox>
                <w10:wrap type="tight"/>
              </v:rect>
            </w:pict>
          </mc:Fallback>
        </mc:AlternateConten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lang w:val="en-US"/>
        </w:rPr>
      </w:pP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51672576" behindDoc="0" locked="0" layoutInCell="1" allowOverlap="1">
                <wp:simplePos x="0" y="0"/>
                <wp:positionH relativeFrom="column">
                  <wp:posOffset>988695</wp:posOffset>
                </wp:positionH>
                <wp:positionV relativeFrom="paragraph">
                  <wp:posOffset>1054100</wp:posOffset>
                </wp:positionV>
                <wp:extent cx="3810000" cy="494665"/>
                <wp:effectExtent l="5080" t="5080" r="10160" b="18415"/>
                <wp:wrapNone/>
                <wp:docPr id="20" name="矩形 60"/>
                <wp:cNvGraphicFramePr/>
                <a:graphic xmlns:a="http://schemas.openxmlformats.org/drawingml/2006/main">
                  <a:graphicData uri="http://schemas.microsoft.com/office/word/2010/wordprocessingShape">
                    <wps:wsp>
                      <wps:cNvSpPr/>
                      <wps:spPr>
                        <a:xfrm>
                          <a:off x="0" y="0"/>
                          <a:ext cx="3810000"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教务处组织专家对申报项目进行评审，确定立项类别、立项项目和立项经费</w:t>
                            </w:r>
                          </w:p>
                        </w:txbxContent>
                      </wps:txbx>
                      <wps:bodyPr upright="1"/>
                    </wps:wsp>
                  </a:graphicData>
                </a:graphic>
              </wp:anchor>
            </w:drawing>
          </mc:Choice>
          <mc:Fallback>
            <w:pict>
              <v:rect id="矩形 60" o:spid="_x0000_s1026" o:spt="1" style="position:absolute;left:0pt;margin-left:77.85pt;margin-top:83pt;height:38.95pt;width:300pt;z-index:251672576;mso-width-relative:page;mso-height-relative:page;" fillcolor="#FFFFFF" filled="t" stroked="t" coordsize="21600,21600" o:gfxdata="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WMC&#10;ktgAAAALAQAADwAAAAAAAAABACAAAAAiAAAAZHJzL2Rvd25yZXYueG1sUEsBAhQAFAAAAAgAh07i&#10;QLZi5KrpAQAA3QMAAA4AAAAAAAAAAQAgAAAAJwEAAGRycy9lMm9Eb2MueG1sUEsFBgAAAAAGAAYA&#10;WQEAAIIF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教务处组织专家对申报项目进行评审，确定立项类别、立项项目和立项经费</w:t>
                      </w:r>
                    </w:p>
                  </w:txbxContent>
                </v:textbox>
              </v:rect>
            </w:pict>
          </mc:Fallback>
        </mc:AlternateContent>
      </w:r>
      <w:r>
        <w:rPr>
          <w:lang w:eastAsia="zh-CN"/>
        </w:rPr>
        <mc:AlternateContent>
          <mc:Choice Requires="wps">
            <w:drawing>
              <wp:anchor distT="0" distB="0" distL="114300" distR="114300" simplePos="0" relativeHeight="251678720" behindDoc="0" locked="0" layoutInCell="1" allowOverlap="1">
                <wp:simplePos x="0" y="0"/>
                <wp:positionH relativeFrom="column">
                  <wp:posOffset>979170</wp:posOffset>
                </wp:positionH>
                <wp:positionV relativeFrom="paragraph">
                  <wp:posOffset>5416550</wp:posOffset>
                </wp:positionV>
                <wp:extent cx="3810000" cy="409575"/>
                <wp:effectExtent l="4445" t="4445" r="10795" b="12700"/>
                <wp:wrapNone/>
                <wp:docPr id="35" name="矩形 58"/>
                <wp:cNvGraphicFramePr/>
                <a:graphic xmlns:a="http://schemas.openxmlformats.org/drawingml/2006/main">
                  <a:graphicData uri="http://schemas.microsoft.com/office/word/2010/wordprocessingShape">
                    <wps:wsp>
                      <wps:cNvSpPr/>
                      <wps:spPr>
                        <a:xfrm>
                          <a:off x="0" y="0"/>
                          <a:ext cx="3810000"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归档项目有关文件</w:t>
                            </w:r>
                          </w:p>
                        </w:txbxContent>
                      </wps:txbx>
                      <wps:bodyPr upright="1"/>
                    </wps:wsp>
                  </a:graphicData>
                </a:graphic>
              </wp:anchor>
            </w:drawing>
          </mc:Choice>
          <mc:Fallback>
            <w:pict>
              <v:rect id="矩形 58" o:spid="_x0000_s1026" o:spt="1" style="position:absolute;left:0pt;margin-left:77.1pt;margin-top:426.5pt;height:32.25pt;width:300pt;z-index:251678720;mso-width-relative:page;mso-height-relative:page;" fillcolor="#FFFFFF" filled="t" stroked="t" coordsize="21600,21600" o:gfxdata="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rMo&#10;t9gAAAALAQAADwAAAAAAAAABACAAAAAiAAAAZHJzL2Rvd25yZXYueG1sUEsBAhQAFAAAAAgAh07i&#10;QLV4RGjpAQAA3QMAAA4AAAAAAAAAAQAgAAAAJwEAAGRycy9lMm9Eb2MueG1sUEsFBgAAAAAGAAYA&#10;WQEAAIIF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归档项目有关文件</w:t>
                      </w:r>
                    </w:p>
                  </w:txbxContent>
                </v:textbox>
              </v:rect>
            </w:pict>
          </mc:Fallback>
        </mc:AlternateContent>
      </w:r>
      <w:r>
        <w:rPr>
          <w:lang w:eastAsia="zh-CN"/>
        </w:rPr>
        <mc:AlternateContent>
          <mc:Choice Requires="wps">
            <w:drawing>
              <wp:anchor distT="0" distB="0" distL="114300" distR="114300" simplePos="0" relativeHeight="251686912" behindDoc="0" locked="0" layoutInCell="1" allowOverlap="1">
                <wp:simplePos x="0" y="0"/>
                <wp:positionH relativeFrom="column">
                  <wp:posOffset>-1179195</wp:posOffset>
                </wp:positionH>
                <wp:positionV relativeFrom="paragraph">
                  <wp:posOffset>799465</wp:posOffset>
                </wp:positionV>
                <wp:extent cx="0" cy="247015"/>
                <wp:effectExtent l="50800" t="0" r="55880" b="12065"/>
                <wp:wrapNone/>
                <wp:docPr id="36" name="自选图形 62"/>
                <wp:cNvGraphicFramePr/>
                <a:graphic xmlns:a="http://schemas.openxmlformats.org/drawingml/2006/main">
                  <a:graphicData uri="http://schemas.microsoft.com/office/word/2010/wordprocessingShape">
                    <wps:wsp>
                      <wps:cNvCnPr/>
                      <wps:spPr>
                        <a:xfrm>
                          <a:off x="0" y="0"/>
                          <a:ext cx="0" cy="2470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62" o:spid="_x0000_s1026" o:spt="32" type="#_x0000_t32" style="position:absolute;left:0pt;margin-left:-92.85pt;margin-top:62.95pt;height:19.45pt;width:0pt;z-index:251686912;mso-width-relative:page;mso-height-relative:page;" filled="f" stroked="t" coordsize="21600,21600" o:gfxdata="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KFtlNgAAAAN&#10;AQAADwAAAAAAAAABACAAAAAiAAAAZHJzL2Rvd25yZXYueG1sUEsBAhQAFAAAAAgAh07iQPuUCjjj&#10;AQAAogMAAA4AAAAAAAAAAQAgAAAAJwEAAGRycy9lMm9Eb2MueG1sUEsFBgAAAAAGAAYAWQEAAHwF&#10;AAA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89984" behindDoc="0" locked="0" layoutInCell="1" allowOverlap="1">
                <wp:simplePos x="0" y="0"/>
                <wp:positionH relativeFrom="column">
                  <wp:posOffset>-1141095</wp:posOffset>
                </wp:positionH>
                <wp:positionV relativeFrom="paragraph">
                  <wp:posOffset>3034030</wp:posOffset>
                </wp:positionV>
                <wp:extent cx="0" cy="247015"/>
                <wp:effectExtent l="50800" t="0" r="55880" b="12065"/>
                <wp:wrapNone/>
                <wp:docPr id="25" name="自选图形 66"/>
                <wp:cNvGraphicFramePr/>
                <a:graphic xmlns:a="http://schemas.openxmlformats.org/drawingml/2006/main">
                  <a:graphicData uri="http://schemas.microsoft.com/office/word/2010/wordprocessingShape">
                    <wps:wsp>
                      <wps:cNvCnPr/>
                      <wps:spPr>
                        <a:xfrm>
                          <a:off x="0" y="0"/>
                          <a:ext cx="0" cy="2470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66" o:spid="_x0000_s1026" o:spt="32" type="#_x0000_t32" style="position:absolute;left:0pt;margin-left:-89.85pt;margin-top:238.9pt;height:19.45pt;width:0pt;z-index:251689984;mso-width-relative:page;mso-height-relative:page;" filled="f" stroked="t" coordsize="21600,21600" o:gfxdata="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97cttgAAAAN&#10;AQAADwAAAAAAAAABACAAAAAiAAAAZHJzL2Rvd25yZXYueG1sUEsBAhQAFAAAAAgAh07iQK7lGszj&#10;AQAAogMAAA4AAAAAAAAAAQAgAAAAJwEAAGRycy9lMm9Eb2MueG1sUEsFBgAAAAAGAAYAWQEAAHwF&#10;AAA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91008" behindDoc="0" locked="0" layoutInCell="1" allowOverlap="1">
                <wp:simplePos x="0" y="0"/>
                <wp:positionH relativeFrom="column">
                  <wp:posOffset>-1141095</wp:posOffset>
                </wp:positionH>
                <wp:positionV relativeFrom="paragraph">
                  <wp:posOffset>3710305</wp:posOffset>
                </wp:positionV>
                <wp:extent cx="0" cy="247015"/>
                <wp:effectExtent l="50800" t="0" r="55880" b="12065"/>
                <wp:wrapNone/>
                <wp:docPr id="27" name="自选图形 68"/>
                <wp:cNvGraphicFramePr/>
                <a:graphic xmlns:a="http://schemas.openxmlformats.org/drawingml/2006/main">
                  <a:graphicData uri="http://schemas.microsoft.com/office/word/2010/wordprocessingShape">
                    <wps:wsp>
                      <wps:cNvCnPr/>
                      <wps:spPr>
                        <a:xfrm>
                          <a:off x="0" y="0"/>
                          <a:ext cx="0" cy="2470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68" o:spid="_x0000_s1026" o:spt="32" type="#_x0000_t32" style="position:absolute;left:0pt;margin-left:-89.85pt;margin-top:292.15pt;height:19.45pt;width:0pt;z-index:251691008;mso-width-relative:page;mso-height-relative:page;" filled="f" stroked="t" coordsize="21600,21600" o:gfxdata="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Ko8aDZAAAA&#10;DQEAAA8AAAAAAAAAAQAgAAAAIgAAAGRycy9kb3ducmV2LnhtbFBLAQIUABQAAAAIAIdO4kCs/xI4&#10;4wEAAKIDAAAOAAAAAAAAAAEAIAAAACgBAABkcnMvZTJvRG9jLnhtbFBLBQYAAAAABgAGAFkBAAB9&#10;BQAA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93056" behindDoc="0" locked="0" layoutInCell="1" allowOverlap="1">
                <wp:simplePos x="0" y="0"/>
                <wp:positionH relativeFrom="column">
                  <wp:posOffset>-1162050</wp:posOffset>
                </wp:positionH>
                <wp:positionV relativeFrom="paragraph">
                  <wp:posOffset>5168900</wp:posOffset>
                </wp:positionV>
                <wp:extent cx="0" cy="247015"/>
                <wp:effectExtent l="50800" t="0" r="55880" b="12065"/>
                <wp:wrapNone/>
                <wp:docPr id="28" name="自选图形 70"/>
                <wp:cNvGraphicFramePr/>
                <a:graphic xmlns:a="http://schemas.openxmlformats.org/drawingml/2006/main">
                  <a:graphicData uri="http://schemas.microsoft.com/office/word/2010/wordprocessingShape">
                    <wps:wsp>
                      <wps:cNvCnPr/>
                      <wps:spPr>
                        <a:xfrm>
                          <a:off x="0" y="0"/>
                          <a:ext cx="0" cy="2470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70" o:spid="_x0000_s1026" o:spt="32" type="#_x0000_t32" style="position:absolute;left:0pt;margin-left:-91.5pt;margin-top:407pt;height:19.45pt;width:0pt;z-index:251693056;mso-width-relative:page;mso-height-relative:page;" filled="f" stroked="t" coordsize="21600,21600" o:gfxdata="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KzuFTYAAAADQEA&#10;AA8AAAAAAAAAAQAgAAAAIgAAAGRycy9kb3ducmV2LnhtbFBLAQIUABQAAAAIAIdO4kCbBfls4QEA&#10;AKIDAAAOAAAAAAAAAAEAIAAAACcBAABkcnMvZTJvRG9jLnhtbFBLBQYAAAAABgAGAFkBAAB6BQAA&#10;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92032" behindDoc="0" locked="0" layoutInCell="1" allowOverlap="1">
                <wp:simplePos x="0" y="0"/>
                <wp:positionH relativeFrom="column">
                  <wp:posOffset>-1141095</wp:posOffset>
                </wp:positionH>
                <wp:positionV relativeFrom="paragraph">
                  <wp:posOffset>4479290</wp:posOffset>
                </wp:positionV>
                <wp:extent cx="0" cy="247015"/>
                <wp:effectExtent l="50800" t="0" r="55880" b="12065"/>
                <wp:wrapNone/>
                <wp:docPr id="29" name="自选图形 69"/>
                <wp:cNvGraphicFramePr/>
                <a:graphic xmlns:a="http://schemas.openxmlformats.org/drawingml/2006/main">
                  <a:graphicData uri="http://schemas.microsoft.com/office/word/2010/wordprocessingShape">
                    <wps:wsp>
                      <wps:cNvCnPr/>
                      <wps:spPr>
                        <a:xfrm>
                          <a:off x="0" y="0"/>
                          <a:ext cx="0" cy="2470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69" o:spid="_x0000_s1026" o:spt="32" type="#_x0000_t32" style="position:absolute;left:0pt;margin-left:-89.85pt;margin-top:352.7pt;height:19.45pt;width:0pt;z-index:251692032;mso-width-relative:page;mso-height-relative:page;" filled="f" stroked="t" coordsize="21600,21600" o:gfxdata="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a/vl7YAAAA&#10;DQEAAA8AAAAAAAAAAQAgAAAAIgAAAGRycy9kb3ducmV2LnhtbFBLAQIUABQAAAAIAIdO4kDHs7T8&#10;5AEAAKIDAAAOAAAAAAAAAAEAIAAAACcBAABkcnMvZTJvRG9jLnhtbFBLBQYAAAAABgAGAFkBAAB9&#10;BQAA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87936" behindDoc="0" locked="0" layoutInCell="1" allowOverlap="1">
                <wp:simplePos x="0" y="0"/>
                <wp:positionH relativeFrom="column">
                  <wp:posOffset>-1181100</wp:posOffset>
                </wp:positionH>
                <wp:positionV relativeFrom="paragraph">
                  <wp:posOffset>1583055</wp:posOffset>
                </wp:positionV>
                <wp:extent cx="0" cy="247015"/>
                <wp:effectExtent l="50800" t="0" r="55880" b="12065"/>
                <wp:wrapNone/>
                <wp:docPr id="19" name="自选图形 63"/>
                <wp:cNvGraphicFramePr/>
                <a:graphic xmlns:a="http://schemas.openxmlformats.org/drawingml/2006/main">
                  <a:graphicData uri="http://schemas.microsoft.com/office/word/2010/wordprocessingShape">
                    <wps:wsp>
                      <wps:cNvCnPr/>
                      <wps:spPr>
                        <a:xfrm>
                          <a:off x="0" y="0"/>
                          <a:ext cx="0" cy="2470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63" o:spid="_x0000_s1026" o:spt="32" type="#_x0000_t32" style="position:absolute;left:0pt;margin-left:-93pt;margin-top:124.65pt;height:19.45pt;width:0pt;z-index:251687936;mso-width-relative:page;mso-height-relative:page;" filled="f" stroked="t" coordsize="21600,21600" o:gfxdata="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ROLy9gAAAAN&#10;AQAADwAAAAAAAAABACAAAAAiAAAAZHJzL2Rvd25yZXYueG1sUEsBAhQAFAAAAAgAh07iQInMupbj&#10;AQAAogMAAA4AAAAAAAAAAQAgAAAAJwEAAGRycy9lMm9Eb2MueG1sUEsFBgAAAAAGAAYAWQEAAHwF&#10;AAA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88960" behindDoc="0" locked="0" layoutInCell="1" allowOverlap="1">
                <wp:simplePos x="0" y="0"/>
                <wp:positionH relativeFrom="column">
                  <wp:posOffset>-1155700</wp:posOffset>
                </wp:positionH>
                <wp:positionV relativeFrom="paragraph">
                  <wp:posOffset>2352675</wp:posOffset>
                </wp:positionV>
                <wp:extent cx="0" cy="247015"/>
                <wp:effectExtent l="50800" t="0" r="55880" b="12065"/>
                <wp:wrapNone/>
                <wp:docPr id="32" name="自选图形 65"/>
                <wp:cNvGraphicFramePr/>
                <a:graphic xmlns:a="http://schemas.openxmlformats.org/drawingml/2006/main">
                  <a:graphicData uri="http://schemas.microsoft.com/office/word/2010/wordprocessingShape">
                    <wps:wsp>
                      <wps:cNvCnPr/>
                      <wps:spPr>
                        <a:xfrm>
                          <a:off x="0" y="0"/>
                          <a:ext cx="0" cy="2470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65" o:spid="_x0000_s1026" o:spt="32" type="#_x0000_t32" style="position:absolute;left:0pt;margin-left:-91pt;margin-top:185.25pt;height:19.45pt;width:0pt;z-index:251688960;mso-width-relative:page;mso-height-relative:page;" filled="f" stroked="t" coordsize="21600,21600" o:gfxdata="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rds8vZAAAA&#10;DQEAAA8AAAAAAAAAAQAgAAAAIgAAAGRycy9kb3ducmV2LnhtbFBLAQIUABQAAAAIAIdO4kA3TPhL&#10;4wEAAKIDAAAOAAAAAAAAAAEAIAAAACgBAABkcnMvZTJvRG9jLnhtbFBLBQYAAAAABgAGAFkBAAB9&#10;BQAAAAA=&#10;">
                <v:fill on="f" focussize="0,0"/>
                <v:stroke weight="1pt" color="#000000" joinstyle="miter" endarrow="open"/>
                <v:imagedata o:title=""/>
                <o:lock v:ext="edit" aspectratio="f"/>
              </v:shape>
            </w:pict>
          </mc:Fallback>
        </mc:AlternateContent>
      </w:r>
      <w:r>
        <w:rPr>
          <w:lang w:eastAsia="zh-CN"/>
        </w:rPr>
        <mc:AlternateContent>
          <mc:Choice Requires="wps">
            <w:drawing>
              <wp:anchor distT="0" distB="0" distL="114300" distR="114300" simplePos="0" relativeHeight="251671552" behindDoc="0" locked="0" layoutInCell="1" allowOverlap="1">
                <wp:simplePos x="0" y="0"/>
                <wp:positionH relativeFrom="column">
                  <wp:posOffset>969010</wp:posOffset>
                </wp:positionH>
                <wp:positionV relativeFrom="paragraph">
                  <wp:posOffset>368300</wp:posOffset>
                </wp:positionV>
                <wp:extent cx="3800475" cy="409575"/>
                <wp:effectExtent l="4445" t="4445" r="5080" b="12700"/>
                <wp:wrapNone/>
                <wp:docPr id="33" name="矩形 57"/>
                <wp:cNvGraphicFramePr/>
                <a:graphic xmlns:a="http://schemas.openxmlformats.org/drawingml/2006/main">
                  <a:graphicData uri="http://schemas.microsoft.com/office/word/2010/wordprocessingShape">
                    <wps:wsp>
                      <wps:cNvSpPr/>
                      <wps:spPr>
                        <a:xfrm>
                          <a:off x="0" y="0"/>
                          <a:ext cx="3800475"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各教学院汇总本院项目申报材料，并按要求上报至教务处</w:t>
                            </w:r>
                          </w:p>
                        </w:txbxContent>
                      </wps:txbx>
                      <wps:bodyPr upright="1"/>
                    </wps:wsp>
                  </a:graphicData>
                </a:graphic>
              </wp:anchor>
            </w:drawing>
          </mc:Choice>
          <mc:Fallback>
            <w:pict>
              <v:rect id="矩形 57" o:spid="_x0000_s1026" o:spt="1" style="position:absolute;left:0pt;margin-left:76.3pt;margin-top:29pt;height:32.25pt;width:299.25pt;z-index:251671552;mso-width-relative:page;mso-height-relative:page;" fillcolor="#FFFFFF" filled="t" stroked="t" coordsize="21600,21600" o:gfxdata="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BmWLLX&#10;AAAACgEAAA8AAAAAAAAAAQAgAAAAIgAAAGRycy9kb3ducmV2LnhtbFBLAQIUABQAAAAIAIdO4kDG&#10;mMsZ6AEAAN0DAAAOAAAAAAAAAAEAIAAAACYBAABkcnMvZTJvRG9jLnhtbFBLBQYAAAAABgAGAFkB&#10;AACABQ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各教学院汇总本院项目申报材料，并按要求上报至教务处</w:t>
                      </w:r>
                    </w:p>
                  </w:txbxContent>
                </v:textbox>
              </v:rect>
            </w:pict>
          </mc:Fallback>
        </mc:AlternateContent>
      </w:r>
      <w:r>
        <w:rPr>
          <w:lang w:eastAsia="zh-CN"/>
        </w:rPr>
        <mc:AlternateContent>
          <mc:Choice Requires="wps">
            <w:drawing>
              <wp:anchor distT="0" distB="0" distL="114300" distR="114300" simplePos="0" relativeHeight="251685888" behindDoc="0" locked="0" layoutInCell="1" allowOverlap="1">
                <wp:simplePos x="0" y="0"/>
                <wp:positionH relativeFrom="column">
                  <wp:posOffset>2874645</wp:posOffset>
                </wp:positionH>
                <wp:positionV relativeFrom="paragraph">
                  <wp:posOffset>110490</wp:posOffset>
                </wp:positionV>
                <wp:extent cx="0" cy="247015"/>
                <wp:effectExtent l="50800" t="0" r="55880" b="12065"/>
                <wp:wrapNone/>
                <wp:docPr id="1" name="自选图形 55"/>
                <wp:cNvGraphicFramePr/>
                <a:graphic xmlns:a="http://schemas.openxmlformats.org/drawingml/2006/main">
                  <a:graphicData uri="http://schemas.microsoft.com/office/word/2010/wordprocessingShape">
                    <wps:wsp>
                      <wps:cNvCnPr/>
                      <wps:spPr>
                        <a:xfrm>
                          <a:off x="0" y="0"/>
                          <a:ext cx="0" cy="247015"/>
                        </a:xfrm>
                        <a:prstGeom prst="straightConnector1">
                          <a:avLst/>
                        </a:prstGeom>
                        <a:ln w="12700" cap="flat" cmpd="sng">
                          <a:solidFill>
                            <a:srgbClr val="000000"/>
                          </a:solidFill>
                          <a:prstDash val="solid"/>
                          <a:miter/>
                          <a:headEnd type="none" w="med" len="med"/>
                          <a:tailEnd type="arrow" w="med" len="med"/>
                        </a:ln>
                      </wps:spPr>
                      <wps:bodyPr/>
                    </wps:wsp>
                  </a:graphicData>
                </a:graphic>
              </wp:anchor>
            </w:drawing>
          </mc:Choice>
          <mc:Fallback>
            <w:pict>
              <v:shape id="自选图形 55" o:spid="_x0000_s1026" o:spt="32" type="#_x0000_t32" style="position:absolute;left:0pt;margin-left:226.35pt;margin-top:8.7pt;height:19.45pt;width:0pt;z-index:251685888;mso-width-relative:page;mso-height-relative:page;" filled="f" stroked="t" coordsize="21600,21600" o:gfxdata="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z/C9YAAAAJAQAA&#10;DwAAAAAAAAABACAAAAAiAAAAZHJzL2Rvd25yZXYueG1sUEsBAhQAFAAAAAgAh07iQI+s0p/iAQAA&#10;oQMAAA4AAAAAAAAAAQAgAAAAJQEAAGRycy9lMm9Eb2MueG1sUEsFBgAAAAAGAAYAWQEAAHkFAAAA&#10;AA==&#10;">
                <v:fill on="f" focussize="0,0"/>
                <v:stroke weight="1pt" color="#000000" joinstyle="miter" endarrow="open"/>
                <v:imagedata o:title=""/>
                <o:lock v:ext="edit" aspectratio="f"/>
              </v:shape>
            </w:pict>
          </mc:Fallback>
        </mc:AlternateConten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仿宋_GB2312" w:hAnsi="宋体" w:eastAsia="仿宋_GB2312" w:cs="仿宋_GB2312"/>
          <w:sz w:val="32"/>
          <w:szCs w:val="32"/>
          <w:lang w:val="en-US"/>
        </w:rPr>
      </w:pPr>
      <w:r>
        <w:rPr>
          <w:lang w:eastAsia="zh-CN"/>
        </w:rPr>
        <mc:AlternateContent>
          <mc:Choice Requires="wps">
            <w:drawing>
              <wp:anchor distT="0" distB="0" distL="114300" distR="114300" simplePos="0" relativeHeight="251674624" behindDoc="0" locked="0" layoutInCell="1" allowOverlap="1">
                <wp:simplePos x="0" y="0"/>
                <wp:positionH relativeFrom="column">
                  <wp:posOffset>956310</wp:posOffset>
                </wp:positionH>
                <wp:positionV relativeFrom="paragraph">
                  <wp:posOffset>148590</wp:posOffset>
                </wp:positionV>
                <wp:extent cx="3838575" cy="485140"/>
                <wp:effectExtent l="4445" t="4445" r="12700" b="13335"/>
                <wp:wrapNone/>
                <wp:docPr id="30" name="矩形 64"/>
                <wp:cNvGraphicFramePr/>
                <a:graphic xmlns:a="http://schemas.openxmlformats.org/drawingml/2006/main">
                  <a:graphicData uri="http://schemas.microsoft.com/office/word/2010/wordprocessingShape">
                    <wps:wsp>
                      <wps:cNvSpPr/>
                      <wps:spPr>
                        <a:xfrm>
                          <a:off x="0" y="0"/>
                          <a:ext cx="3838575"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项目负责人根据立项结果制定项目实施方案，经院领导审批后报教务处备案</w:t>
                            </w:r>
                          </w:p>
                        </w:txbxContent>
                      </wps:txbx>
                      <wps:bodyPr upright="1"/>
                    </wps:wsp>
                  </a:graphicData>
                </a:graphic>
              </wp:anchor>
            </w:drawing>
          </mc:Choice>
          <mc:Fallback>
            <w:pict>
              <v:rect id="矩形 64" o:spid="_x0000_s1026" o:spt="1" style="position:absolute;left:0pt;margin-left:75.3pt;margin-top:11.7pt;height:38.2pt;width:302.25pt;z-index:251674624;mso-width-relative:page;mso-height-relative:page;" fillcolor="#FFFFFF" filled="t" stroked="t" coordsize="21600,21600" o:gfxdata="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y&#10;sdcAAAAJAQAADwAAAAAAAAABACAAAAAiAAAAZHJzL2Rvd25yZXYueG1sUEsBAhQAFAAAAAgAh07i&#10;QMp4mTnqAQAA3QMAAA4AAAAAAAAAAQAgAAAAJgEAAGRycy9lMm9Eb2MueG1sUEsFBgAAAAAGAAYA&#10;WQEAAIIF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项目负责人根据立项结果制定项目实施方案，经院领导审批后报教务处备案</w:t>
                      </w:r>
                    </w:p>
                  </w:txbxContent>
                </v:textbox>
              </v:rect>
            </w:pict>
          </mc:Fallback>
        </mc:AlternateConten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仿宋_GB2312" w:hAnsi="宋体" w:eastAsia="仿宋_GB2312" w:cs="仿宋_GB2312"/>
          <w:sz w:val="32"/>
          <w:szCs w:val="32"/>
          <w:lang w:val="en-US"/>
        </w:rPr>
      </w:pPr>
      <w:r>
        <w:rPr>
          <w:lang w:eastAsia="zh-CN"/>
        </w:rPr>
        <mc:AlternateContent>
          <mc:Choice Requires="wps">
            <w:drawing>
              <wp:anchor distT="0" distB="0" distL="114300" distR="114300" simplePos="0" relativeHeight="251673600" behindDoc="0" locked="0" layoutInCell="1" allowOverlap="1">
                <wp:simplePos x="0" y="0"/>
                <wp:positionH relativeFrom="column">
                  <wp:posOffset>967105</wp:posOffset>
                </wp:positionH>
                <wp:positionV relativeFrom="paragraph">
                  <wp:posOffset>113030</wp:posOffset>
                </wp:positionV>
                <wp:extent cx="3819525" cy="409575"/>
                <wp:effectExtent l="4445" t="4445" r="16510" b="12700"/>
                <wp:wrapNone/>
                <wp:docPr id="7" name="矩形 56"/>
                <wp:cNvGraphicFramePr/>
                <a:graphic xmlns:a="http://schemas.openxmlformats.org/drawingml/2006/main">
                  <a:graphicData uri="http://schemas.microsoft.com/office/word/2010/wordprocessingShape">
                    <wps:wsp>
                      <wps:cNvSpPr/>
                      <wps:spPr>
                        <a:xfrm>
                          <a:off x="0" y="0"/>
                          <a:ext cx="3819525"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各教学院根据比赛通知组织好动员、报名、赛前培训工作</w:t>
                            </w:r>
                          </w:p>
                        </w:txbxContent>
                      </wps:txbx>
                      <wps:bodyPr upright="1"/>
                    </wps:wsp>
                  </a:graphicData>
                </a:graphic>
              </wp:anchor>
            </w:drawing>
          </mc:Choice>
          <mc:Fallback>
            <w:pict>
              <v:rect id="矩形 56" o:spid="_x0000_s1026" o:spt="1" style="position:absolute;left:0pt;margin-left:76.15pt;margin-top:8.9pt;height:32.25pt;width:300.75pt;z-index:251673600;mso-width-relative:page;mso-height-relative:page;" fillcolor="#FFFFFF" filled="t" stroked="t" coordsize="21600,21600" o:gfxdata="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oCBatQAAAAJAQAA&#10;DwAAAAAAAAABACAAAAAiAAAAZHJzL2Rvd25yZXYueG1sUEsBAhQAFAAAAAgAh07iQDWMqoLkAQAA&#10;3AMAAA4AAAAAAAAAAQAgAAAAIwEAAGRycy9lMm9Eb2MueG1sUEsFBgAAAAAGAAYAWQEAAHkFAAAA&#10;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各教学院根据比赛通知组织好动员、报名、赛前培训工作</w:t>
                      </w:r>
                    </w:p>
                  </w:txbxContent>
                </v:textbox>
              </v:rect>
            </w:pict>
          </mc:Fallback>
        </mc:AlternateConten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仿宋_GB2312" w:hAnsi="宋体" w:eastAsia="仿宋_GB2312" w:cs="仿宋_GB2312"/>
          <w:sz w:val="32"/>
          <w:szCs w:val="32"/>
          <w:lang w:val="en-US"/>
        </w:rPr>
      </w:pPr>
      <w:r>
        <w:rPr>
          <w:lang w:eastAsia="zh-CN"/>
        </w:rPr>
        <mc:AlternateContent>
          <mc:Choice Requires="wps">
            <w:drawing>
              <wp:anchor distT="0" distB="0" distL="114300" distR="114300" simplePos="0" relativeHeight="251675648" behindDoc="0" locked="0" layoutInCell="1" allowOverlap="1">
                <wp:simplePos x="0" y="0"/>
                <wp:positionH relativeFrom="column">
                  <wp:posOffset>965835</wp:posOffset>
                </wp:positionH>
                <wp:positionV relativeFrom="paragraph">
                  <wp:posOffset>41275</wp:posOffset>
                </wp:positionV>
                <wp:extent cx="3818890" cy="409575"/>
                <wp:effectExtent l="4445" t="4445" r="17145" b="12700"/>
                <wp:wrapNone/>
                <wp:docPr id="24" name="矩形 67"/>
                <wp:cNvGraphicFramePr/>
                <a:graphic xmlns:a="http://schemas.openxmlformats.org/drawingml/2006/main">
                  <a:graphicData uri="http://schemas.microsoft.com/office/word/2010/wordprocessingShape">
                    <wps:wsp>
                      <wps:cNvSpPr/>
                      <wps:spPr>
                        <a:xfrm>
                          <a:off x="0" y="0"/>
                          <a:ext cx="3818890"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项目负责人带队参赛</w:t>
                            </w:r>
                          </w:p>
                        </w:txbxContent>
                      </wps:txbx>
                      <wps:bodyPr upright="1"/>
                    </wps:wsp>
                  </a:graphicData>
                </a:graphic>
              </wp:anchor>
            </w:drawing>
          </mc:Choice>
          <mc:Fallback>
            <w:pict>
              <v:rect id="矩形 67" o:spid="_x0000_s1026" o:spt="1" style="position:absolute;left:0pt;margin-left:76.05pt;margin-top:3.25pt;height:32.25pt;width:300.7pt;z-index:251675648;mso-width-relative:page;mso-height-relative:page;" fillcolor="#FFFFFF" filled="t" stroked="t" coordsize="21600,21600" o:gfxdata="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2JdANUA&#10;AAAIAQAADwAAAAAAAAABACAAAAAiAAAAZHJzL2Rvd25yZXYueG1sUEsBAhQAFAAAAAgAh07iQD9t&#10;MWfpAQAA3QMAAA4AAAAAAAAAAQAgAAAAJAEAAGRycy9lMm9Eb2MueG1sUEsFBgAAAAAGAAYAWQEA&#10;AH8F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项目负责人带队参赛</w:t>
                      </w:r>
                    </w:p>
                  </w:txbxContent>
                </v:textbox>
              </v:rect>
            </w:pict>
          </mc:Fallback>
        </mc:AlternateContent>
      </w: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仿宋_GB2312" w:hAnsi="宋体" w:eastAsia="仿宋_GB2312" w:cs="仿宋_GB2312"/>
          <w:sz w:val="32"/>
          <w:szCs w:val="32"/>
          <w:lang w:val="en-US"/>
        </w:rPr>
      </w:pPr>
      <w:r>
        <w:rPr>
          <w:lang w:eastAsia="zh-CN"/>
        </w:rPr>
        <mc:AlternateContent>
          <mc:Choice Requires="wps">
            <w:drawing>
              <wp:anchor distT="0" distB="0" distL="114300" distR="114300" simplePos="0" relativeHeight="251677696" behindDoc="0" locked="0" layoutInCell="1" allowOverlap="1">
                <wp:simplePos x="0" y="0"/>
                <wp:positionH relativeFrom="column">
                  <wp:posOffset>973455</wp:posOffset>
                </wp:positionH>
                <wp:positionV relativeFrom="paragraph">
                  <wp:posOffset>341630</wp:posOffset>
                </wp:positionV>
                <wp:extent cx="3829050" cy="485140"/>
                <wp:effectExtent l="4445" t="4445" r="6985" b="13335"/>
                <wp:wrapNone/>
                <wp:docPr id="31" name="矩形 61"/>
                <wp:cNvGraphicFramePr/>
                <a:graphic xmlns:a="http://schemas.openxmlformats.org/drawingml/2006/main">
                  <a:graphicData uri="http://schemas.microsoft.com/office/word/2010/wordprocessingShape">
                    <wps:wsp>
                      <wps:cNvSpPr/>
                      <wps:spPr>
                        <a:xfrm>
                          <a:off x="0" y="0"/>
                          <a:ext cx="3829050"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竞赛结束后，项目负责人向本院实践科提交项目开展工作材料汇编</w:t>
                            </w:r>
                          </w:p>
                        </w:txbxContent>
                      </wps:txbx>
                      <wps:bodyPr upright="1"/>
                    </wps:wsp>
                  </a:graphicData>
                </a:graphic>
              </wp:anchor>
            </w:drawing>
          </mc:Choice>
          <mc:Fallback>
            <w:pict>
              <v:rect id="矩形 61" o:spid="_x0000_s1026" o:spt="1" style="position:absolute;left:0pt;margin-left:76.65pt;margin-top:26.9pt;height:38.2pt;width:301.5pt;z-index:251677696;mso-width-relative:page;mso-height-relative:page;" fillcolor="#FFFFFF" filled="t" stroked="t" coordsize="21600,21600" o:gfxdata="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2k&#10;xEXXAAAACgEAAA8AAAAAAAAAAQAgAAAAIgAAAGRycy9kb3ducmV2LnhtbFBLAQIUABQAAAAIAIdO&#10;4kDTISY36wEAAN0DAAAOAAAAAAAAAAEAIAAAACYBAABkcnMvZTJvRG9jLnhtbFBLBQYAAAAABgAG&#10;AFkBAACDBQ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竞赛结束后，项目负责人向本院实践科提交项目开展工作材料汇编</w:t>
                      </w:r>
                    </w:p>
                  </w:txbxContent>
                </v:textbox>
              </v:rect>
            </w:pict>
          </mc:Fallback>
        </mc:AlternateConten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仿宋_GB2312" w:hAnsi="宋体" w:eastAsia="仿宋_GB2312" w:cs="仿宋_GB2312"/>
          <w:sz w:val="32"/>
          <w:szCs w:val="32"/>
          <w:lang w:val="en-US"/>
        </w:rPr>
      </w:pPr>
      <w:r>
        <w:rPr>
          <w:lang w:eastAsia="zh-CN"/>
        </w:rPr>
        <mc:AlternateContent>
          <mc:Choice Requires="wps">
            <w:drawing>
              <wp:anchor distT="0" distB="0" distL="114300" distR="114300" simplePos="0" relativeHeight="251676672" behindDoc="0" locked="0" layoutInCell="1" allowOverlap="1">
                <wp:simplePos x="0" y="0"/>
                <wp:positionH relativeFrom="column">
                  <wp:posOffset>1000125</wp:posOffset>
                </wp:positionH>
                <wp:positionV relativeFrom="paragraph">
                  <wp:posOffset>341630</wp:posOffset>
                </wp:positionV>
                <wp:extent cx="3781425" cy="409575"/>
                <wp:effectExtent l="4445" t="4445" r="8890" b="12700"/>
                <wp:wrapNone/>
                <wp:docPr id="34" name="矩形 59"/>
                <wp:cNvGraphicFramePr/>
                <a:graphic xmlns:a="http://schemas.openxmlformats.org/drawingml/2006/main">
                  <a:graphicData uri="http://schemas.microsoft.com/office/word/2010/wordprocessingShape">
                    <wps:wsp>
                      <wps:cNvSpPr/>
                      <wps:spPr>
                        <a:xfrm>
                          <a:off x="0" y="0"/>
                          <a:ext cx="3781425"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教务处统计全校获奖情况，对获奖学生和指导老师进行奖励</w:t>
                            </w:r>
                          </w:p>
                        </w:txbxContent>
                      </wps:txbx>
                      <wps:bodyPr upright="1"/>
                    </wps:wsp>
                  </a:graphicData>
                </a:graphic>
              </wp:anchor>
            </w:drawing>
          </mc:Choice>
          <mc:Fallback>
            <w:pict>
              <v:rect id="矩形 59" o:spid="_x0000_s1026" o:spt="1" style="position:absolute;left:0pt;margin-left:78.75pt;margin-top:26.9pt;height:32.25pt;width:297.75pt;z-index:251676672;mso-width-relative:page;mso-height-relative:page;" fillcolor="#FFFFFF" filled="t" stroked="t" coordsize="21600,21600" o:gfxdata="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T4bX&#10;AAAACgEAAA8AAAAAAAAAAQAgAAAAIgAAAGRycy9kb3ducmV2LnhtbFBLAQIUABQAAAAIAIdO4kA9&#10;/JCr6AEAAN0DAAAOAAAAAAAAAAEAIAAAACYBAABkcnMvZTJvRG9jLnhtbFBLBQYAAAAABgAGAFkB&#10;AACABQ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bdr w:val="none" w:color="auto" w:sz="0" w:space="0"/>
                          <w:lang w:val="en-US" w:eastAsia="zh-CN" w:bidi="ar"/>
                        </w:rPr>
                        <w:t>教务处统计全校获奖情况，对获奖学生和指导老师进行奖励</w:t>
                      </w:r>
                    </w:p>
                  </w:txbxContent>
                </v:textbox>
              </v:rect>
            </w:pict>
          </mc:Fallback>
        </mc:AlternateConten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580" w:lineRule="exact"/>
        <w:ind w:left="0" w:right="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line="580" w:lineRule="exact"/>
        <w:ind w:left="0" w:right="0"/>
        <w:jc w:val="both"/>
        <w:rPr>
          <w:rFonts w:hint="eastAsia" w:ascii="仿宋_GB2312" w:hAnsi="宋体" w:eastAsia="仿宋_GB2312" w:cs="仿宋_GB2312"/>
          <w:sz w:val="32"/>
          <w:szCs w:val="32"/>
          <w:lang w:val="en-US"/>
        </w:rPr>
      </w:pPr>
      <w:r>
        <w:rPr>
          <w:lang w:eastAsia="zh-CN"/>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325120</wp:posOffset>
                </wp:positionV>
                <wp:extent cx="5590540" cy="0"/>
                <wp:effectExtent l="0" t="9525" r="2540" b="13335"/>
                <wp:wrapNone/>
                <wp:docPr id="21" name="直线 71"/>
                <wp:cNvGraphicFramePr/>
                <a:graphic xmlns:a="http://schemas.openxmlformats.org/drawingml/2006/main">
                  <a:graphicData uri="http://schemas.microsoft.com/office/word/2010/wordprocessingShape">
                    <wps:wsp>
                      <wps:cNvSpPr/>
                      <wps:spPr>
                        <a:xfrm>
                          <a:off x="0" y="0"/>
                          <a:ext cx="55905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1" o:spid="_x0000_s1026" o:spt="20" style="position:absolute;left:0pt;margin-left:0pt;margin-top:25.6pt;height:0pt;width:440.2pt;z-index:251694080;mso-width-relative:page;mso-height-relative:page;" filled="f" stroked="t" coordsize="21600,21600" o:gfxdata="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2i7StMAAAAGAQAADwAAAAAAAAABACAAAAAiAAAAZHJzL2Rv&#10;d25yZXYueG1sUEsBAhQAFAAAAAgAh07iQFBOJ/TNAQAAkAMAAA4AAAAAAAAAAQAgAAAAIgEAAGRy&#10;cy9lMm9Eb2MueG1sUEsFBgAAAAAGAAYAWQEAAGEFAAAAAA==&#10;">
                <v:fill on="f" focussize="0,0"/>
                <v:stroke weight="1.5pt" color="#000000" joinstyle="round"/>
                <v:imagedata o:title=""/>
                <o:lock v:ext="edit" aspectratio="f"/>
              </v:line>
            </w:pict>
          </mc:Fallback>
        </mc:AlternateContent>
      </w:r>
    </w:p>
    <w:p>
      <w:pPr>
        <w:keepNext w:val="0"/>
        <w:keepLines w:val="0"/>
        <w:widowControl w:val="0"/>
        <w:suppressLineNumbers w:val="0"/>
        <w:spacing w:before="0" w:beforeAutospacing="0" w:after="0" w:afterAutospacing="0" w:line="480" w:lineRule="exact"/>
        <w:ind w:left="0" w:right="-334" w:rightChars="-159" w:firstLine="280" w:firstLineChars="100"/>
        <w:jc w:val="both"/>
        <w:rPr>
          <w:rFonts w:hint="eastAsia" w:ascii="仿宋_GB2312" w:hAnsi="宋体" w:eastAsia="仿宋_GB2312" w:cs="仿宋_GB2312"/>
          <w:kern w:val="0"/>
          <w:sz w:val="28"/>
          <w:szCs w:val="28"/>
          <w:lang w:val="en-US"/>
        </w:rPr>
      </w:pPr>
      <w:r>
        <w:rPr>
          <w:rFonts w:hint="eastAsia" w:ascii="仿宋_GB2312" w:hAnsi="宋体" w:eastAsia="仿宋_GB2312" w:cs="仿宋_GB2312"/>
          <w:kern w:val="2"/>
          <w:sz w:val="28"/>
          <w:szCs w:val="28"/>
          <w:lang w:val="en-US" w:eastAsia="zh-CN" w:bidi="ar"/>
        </w:rPr>
        <w:t>宜春学院办公室                           2021年3月11日印发</w:t>
      </w:r>
    </w:p>
    <w:p>
      <w:pPr>
        <w:keepNext w:val="0"/>
        <w:keepLines w:val="0"/>
        <w:widowControl w:val="0"/>
        <w:suppressLineNumbers w:val="0"/>
        <w:spacing w:before="0" w:beforeAutospacing="0" w:after="0" w:afterAutospacing="0" w:line="200" w:lineRule="exact"/>
        <w:ind w:left="0" w:right="0"/>
        <w:jc w:val="both"/>
        <w:rPr>
          <w:lang w:val="en-US"/>
        </w:rPr>
      </w:pPr>
      <w:r>
        <w:rPr>
          <w:rFonts w:hint="default" w:ascii="Calibri" w:hAnsi="Calibri" w:eastAsia="宋体" w:cs="Times New Roman"/>
          <w:kern w:val="2"/>
          <w:sz w:val="21"/>
          <w:szCs w:val="22"/>
          <w:lang w:val="en-US" w:eastAsia="zh-CN" w:bidi="ar"/>
        </w:rPr>
        <mc:AlternateContent>
          <mc:Choice Requires="wps">
            <w:drawing>
              <wp:anchor distT="0" distB="0" distL="114300" distR="114300" simplePos="0" relativeHeight="251695104" behindDoc="0" locked="0" layoutInCell="1" allowOverlap="1">
                <wp:simplePos x="0" y="0"/>
                <wp:positionH relativeFrom="column">
                  <wp:posOffset>7620</wp:posOffset>
                </wp:positionH>
                <wp:positionV relativeFrom="paragraph">
                  <wp:posOffset>66040</wp:posOffset>
                </wp:positionV>
                <wp:extent cx="5590540" cy="0"/>
                <wp:effectExtent l="0" t="9525" r="2540" b="13335"/>
                <wp:wrapNone/>
                <wp:docPr id="22" name="直线 72"/>
                <wp:cNvGraphicFramePr/>
                <a:graphic xmlns:a="http://schemas.openxmlformats.org/drawingml/2006/main">
                  <a:graphicData uri="http://schemas.microsoft.com/office/word/2010/wordprocessingShape">
                    <wps:wsp>
                      <wps:cNvSpPr/>
                      <wps:spPr>
                        <a:xfrm>
                          <a:off x="0" y="0"/>
                          <a:ext cx="55905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2" o:spid="_x0000_s1026" o:spt="20" style="position:absolute;left:0pt;margin-left:0.6pt;margin-top:5.2pt;height:0pt;width:440.2pt;z-index:251695104;mso-width-relative:page;mso-height-relative:page;" filled="f" stroked="t" coordsize="21600,21600" o:gfxdata="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5JhZNMAAAAHAQAADwAAAAAAAAABACAAAAAiAAAAZHJzL2Rv&#10;d25yZXYueG1sUEsBAhQAFAAAAAgAh07iQMZzOI/NAQAAkAMAAA4AAAAAAAAAAQAgAAAAIgEAAGRy&#10;cy9lMm9Eb2MueG1sUEsFBgAAAAAGAAYAWQEAAGEFAAAAAA==&#10;">
                <v:fill on="f" focussize="0,0"/>
                <v:stroke weight="1.5pt" color="#000000" joinstyle="round"/>
                <v:imagedata o:title=""/>
                <o:lock v:ext="edit" aspectratio="f"/>
              </v:line>
            </w:pict>
          </mc:Fallback>
        </mc:AlternateContent>
      </w:r>
    </w:p>
    <w:p/>
    <w:sectPr>
      <w:pgSz w:w="11906" w:h="16838"/>
      <w:pgMar w:top="1417" w:right="1474" w:bottom="1417" w:left="1531" w:header="851" w:footer="1446"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auto"/>
    <w:pitch w:val="variable"/>
    <w:sig w:usb0="00000003" w:usb1="00000000" w:usb2="00000000" w:usb3="00000000" w:csb0="00000001" w:csb1="00000000"/>
  </w:font>
  <w:font w:name="Courier">
    <w:altName w:val="Courier New"/>
    <w:panose1 w:val="02070409020205020404"/>
    <w:charset w:val="00"/>
    <w:family w:val="auto"/>
    <w:pitch w:val="fixed"/>
    <w:sig w:usb0="00000003" w:usb1="00000000" w:usb2="00000000" w:usb3="00000000" w:csb0="00000001" w:csb1="00000000"/>
  </w:font>
  <w:font w:name="Tms Rmn">
    <w:altName w:val="Segoe Print"/>
    <w:panose1 w:val="02020603040505020304"/>
    <w:charset w:val="00"/>
    <w:family w:val="auto"/>
    <w:pitch w:val="variable"/>
    <w:sig w:usb0="00000003" w:usb1="00000000" w:usb2="00000000" w:usb3="00000000" w:csb0="00000001" w:csb1="00000000"/>
  </w:font>
  <w:font w:name="Juice ITC">
    <w:panose1 w:val="04040403040A02020202"/>
    <w:charset w:val="00"/>
    <w:family w:val="auto"/>
    <w:pitch w:val="variable"/>
    <w:sig w:usb0="00000003" w:usb1="00000000" w:usb2="00000000" w:usb3="00000000" w:csb0="20000001" w:csb1="00000000"/>
  </w:font>
  <w:font w:name="Helv">
    <w:altName w:val="Segoe Print"/>
    <w:panose1 w:val="020B0604020202030204"/>
    <w:charset w:val="00"/>
    <w:family w:val="auto"/>
    <w:pitch w:val="variable"/>
    <w:sig w:usb0="00000003" w:usb1="00000000" w:usb2="00000000" w:usb3="00000000" w:csb0="00000001" w:csb1="00000000"/>
  </w:font>
  <w:font w:name="New York">
    <w:altName w:val="Segoe Print"/>
    <w:panose1 w:val="02040503060506020304"/>
    <w:charset w:val="00"/>
    <w:family w:val="auto"/>
    <w:pitch w:val="variable"/>
    <w:sig w:usb0="00000003" w:usb1="00000000" w:usb2="00000000" w:usb3="00000000" w:csb0="00000001" w:csb1="00000000"/>
  </w:font>
  <w:font w:name="System">
    <w:altName w:val="宋体"/>
    <w:panose1 w:val="00000000000000000000"/>
    <w:charset w:val="86"/>
    <w:family w:val="auto"/>
    <w:pitch w:val="default"/>
    <w:sig w:usb0="00000001" w:usb1="080E0000" w:usb2="00000010" w:usb3="00000000" w:csb0="00040000" w:csb1="00000000"/>
  </w:font>
  <w:font w:name="Harrington">
    <w:panose1 w:val="04040505050A02020702"/>
    <w:charset w:val="00"/>
    <w:family w:val="auto"/>
    <w:pitch w:val="variable"/>
    <w:sig w:usb0="00000003" w:usb1="00000000" w:usb2="00000000" w:usb3="00000000" w:csb0="20000001" w:csb1="00000000"/>
  </w:font>
  <w:font w:name="MS Mincho">
    <w:panose1 w:val="02020609040205080304"/>
    <w:charset w:val="80"/>
    <w:family w:val="auto"/>
    <w:pitch w:val="fixed"/>
    <w:sig w:usb0="E00002FF" w:usb1="6AC7FDFB" w:usb2="00000012" w:usb3="00000000" w:csb0="4002009F" w:csb1="DFD70000"/>
  </w:font>
  <w:font w:name="@华文仿宋">
    <w:panose1 w:val="02010600040101010101"/>
    <w:charset w:val="86"/>
    <w:family w:val="auto"/>
    <w:pitch w:val="variable"/>
    <w:sig w:usb0="00000287" w:usb1="080F0000" w:usb2="00000000" w:usb3="00000000" w:csb0="0004009F" w:csb1="DFD70000"/>
  </w:font>
  <w:font w:name="Batang">
    <w:panose1 w:val="02030600000101010101"/>
    <w:charset w:val="81"/>
    <w:family w:val="auto"/>
    <w:pitch w:val="variable"/>
    <w:sig w:usb0="B00002AF" w:usb1="69D77CFB" w:usb2="00000030" w:usb3="00000000" w:csb0="4008009F" w:csb1="DFD70000"/>
  </w:font>
  <w:font w:name="Gill Sans MT">
    <w:panose1 w:val="020B0502020104020203"/>
    <w:charset w:val="00"/>
    <w:family w:val="auto"/>
    <w:pitch w:val="variable"/>
    <w:sig w:usb0="00000003" w:usb1="00000000" w:usb2="00000000" w:usb3="00000000" w:csb0="20000003" w:csb1="00000000"/>
  </w:font>
  <w:font w:name="PMingLiU">
    <w:panose1 w:val="02020500000000000000"/>
    <w:charset w:val="88"/>
    <w:family w:val="auto"/>
    <w:pitch w:val="variable"/>
    <w:sig w:usb0="A00002FF" w:usb1="28CFFCFA" w:usb2="00000016" w:usb3="00000000" w:csb0="00100001" w:csb1="00000000"/>
  </w:font>
  <w:font w:name="Gabriola">
    <w:panose1 w:val="04040605051002020D02"/>
    <w:charset w:val="00"/>
    <w:family w:val="auto"/>
    <w:pitch w:val="variable"/>
    <w:sig w:usb0="E00002EF" w:usb1="5000204B" w:usb2="00000000" w:usb3="00000000" w:csb0="2000009F" w:csb1="00000000"/>
  </w:font>
  <w:font w:name="@MingLiU">
    <w:panose1 w:val="02020509000000000000"/>
    <w:charset w:val="88"/>
    <w:family w:val="auto"/>
    <w:pitch w:val="fixed"/>
    <w:sig w:usb0="A00002FF" w:usb1="28CFFCFA" w:usb2="00000016" w:usb3="00000000" w:csb0="00100001" w:csb1="00000000"/>
  </w:font>
  <w:font w:name="DokChampa">
    <w:panose1 w:val="020B0604020202020204"/>
    <w:charset w:val="00"/>
    <w:family w:val="auto"/>
    <w:pitch w:val="variable"/>
    <w:sig w:usb0="03000003" w:usb1="00000000" w:usb2="00000000" w:usb3="00000000" w:csb0="40010001" w:csb1="00000000"/>
  </w:font>
  <w:font w:name="MS Gothic">
    <w:panose1 w:val="020B0609070205080204"/>
    <w:charset w:val="80"/>
    <w:family w:val="auto"/>
    <w:pitch w:val="fixed"/>
    <w:sig w:usb0="E00002FF" w:usb1="6AC7FDFB" w:usb2="00000012" w:usb3="00000000" w:csb0="4002009F" w:csb1="DFD70000"/>
  </w:font>
  <w:font w:name="Euphemia">
    <w:panose1 w:val="020B0503040102020104"/>
    <w:charset w:val="00"/>
    <w:family w:val="auto"/>
    <w:pitch w:val="variable"/>
    <w:sig w:usb0="8000006F" w:usb1="0000004A" w:usb2="00002000" w:usb3="00000000" w:csb0="00000001" w:csb1="00000000"/>
  </w:font>
  <w:font w:name="Latha">
    <w:panose1 w:val="020B0604020202020204"/>
    <w:charset w:val="00"/>
    <w:family w:val="auto"/>
    <w:pitch w:val="variable"/>
    <w:sig w:usb0="00100003" w:usb1="00000000" w:usb2="00000000" w:usb3="00000000" w:csb0="00000001" w:csb1="00000000"/>
  </w:font>
  <w:font w:name="Dotum">
    <w:panose1 w:val="020B0600000101010101"/>
    <w:charset w:val="81"/>
    <w:family w:val="auto"/>
    <w:pitch w:val="variable"/>
    <w:sig w:usb0="B00002AF" w:usb1="69D77CFB" w:usb2="00000030" w:usb3="00000000" w:csb0="4008009F" w:csb1="DFD70000"/>
  </w:font>
  <w:font w:name="Microsoft Sans Serif">
    <w:panose1 w:val="020B0604020202020204"/>
    <w:charset w:val="00"/>
    <w:family w:val="auto"/>
    <w:pitch w:val="variable"/>
    <w:sig w:usb0="E1002AFF" w:usb1="C0000002" w:usb2="00000008" w:usb3="00000000" w:csb0="200101FF" w:csb1="20280000"/>
  </w:font>
  <w:font w:name="MingLiU">
    <w:panose1 w:val="02020509000000000000"/>
    <w:charset w:val="88"/>
    <w:family w:val="auto"/>
    <w:pitch w:val="fixed"/>
    <w:sig w:usb0="A00002FF" w:usb1="28CFFCFA" w:usb2="00000016" w:usb3="00000000" w:csb0="00100001" w:csb1="00000000"/>
  </w:font>
  <w:font w:name="Mincho">
    <w:altName w:val="MS Mincho"/>
    <w:panose1 w:val="02020609040305080305"/>
    <w:charset w:val="80"/>
    <w:family w:val="auto"/>
    <w:pitch w:val="fixed"/>
    <w:sig w:usb0="00000001" w:usb1="08070000" w:usb2="00000010" w:usb3="00000000" w:csb0="00020000" w:csb1="00000000"/>
  </w:font>
  <w:font w:name="Gulim">
    <w:panose1 w:val="020B0600000101010101"/>
    <w:charset w:val="81"/>
    <w:family w:val="auto"/>
    <w:pitch w:val="variable"/>
    <w:sig w:usb0="B00002AF" w:usb1="69D77CFB" w:usb2="00000030" w:usb3="00000000" w:csb0="4008009F" w:csb1="DFD70000"/>
  </w:font>
  <w:font w:name="Century">
    <w:panose1 w:val="02040604050505020304"/>
    <w:charset w:val="00"/>
    <w:family w:val="auto"/>
    <w:pitch w:val="variable"/>
    <w:sig w:usb0="00000287" w:usb1="00000000" w:usb2="00000000" w:usb3="00000000" w:csb0="2000009F" w:csb1="DFD70000"/>
  </w:font>
  <w:font w:name="Angsana New">
    <w:panose1 w:val="02020603050405020304"/>
    <w:charset w:val="00"/>
    <w:family w:val="auto"/>
    <w:pitch w:val="variable"/>
    <w:sig w:usb0="81000003" w:usb1="00000000" w:usb2="00000000" w:usb3="00000000" w:csb0="00010001" w:csb1="00000000"/>
  </w:font>
  <w:font w:name="Cordia New">
    <w:panose1 w:val="020B0304020202020204"/>
    <w:charset w:val="00"/>
    <w:family w:val="auto"/>
    <w:pitch w:val="variable"/>
    <w:sig w:usb0="81000003" w:usb1="00000000" w:usb2="00000000" w:usb3="00000000" w:csb0="00010001" w:csb1="00000000"/>
  </w:font>
  <w:font w:name="Mangal">
    <w:panose1 w:val="02040503050203030202"/>
    <w:charset w:val="00"/>
    <w:family w:val="auto"/>
    <w:pitch w:val="variable"/>
    <w:sig w:usb0="00008003" w:usb1="00000000" w:usb2="00000000" w:usb3="00000000" w:csb0="00000001" w:csb1="00000000"/>
  </w:font>
  <w:font w:name="IrisUPC">
    <w:panose1 w:val="020B0604020202020204"/>
    <w:charset w:val="00"/>
    <w:family w:val="auto"/>
    <w:pitch w:val="variable"/>
    <w:sig w:usb0="01000007" w:usb1="00000002" w:usb2="00000000" w:usb3="00000000" w:csb0="00010001" w:csb1="00000000"/>
  </w:font>
  <w:font w:name="Sylfaen">
    <w:panose1 w:val="010A0502050306030303"/>
    <w:charset w:val="00"/>
    <w:family w:val="auto"/>
    <w:pitch w:val="variable"/>
    <w:sig w:usb0="04000687" w:usb1="00000000" w:usb2="00000000" w:usb3="00000000" w:csb0="2000009F" w:csb1="00000000"/>
  </w:font>
  <w:font w:name="Niagara Solid">
    <w:panose1 w:val="04020502070702020202"/>
    <w:charset w:val="00"/>
    <w:family w:val="auto"/>
    <w:pitch w:val="variable"/>
    <w:sig w:usb0="00000003" w:usb1="00000000" w:usb2="00000000" w:usb3="00000000" w:csb0="20000001" w:csb1="00000000"/>
  </w:font>
  <w:font w:name="Vrinda">
    <w:panose1 w:val="020B0502040204020203"/>
    <w:charset w:val="00"/>
    <w:family w:val="auto"/>
    <w:pitch w:val="variable"/>
    <w:sig w:usb0="00010003" w:usb1="00000000" w:usb2="00000000" w:usb3="00000000" w:csb0="00000001" w:csb1="00000000"/>
  </w:font>
  <w:font w:name="Stencil">
    <w:panose1 w:val="040409050D0802020404"/>
    <w:charset w:val="00"/>
    <w:family w:val="auto"/>
    <w:pitch w:val="variable"/>
    <w:sig w:usb0="00000003" w:usb1="00000000" w:usb2="00000000" w:usb3="00000000" w:csb0="20000001" w:csb1="00000000"/>
  </w:font>
  <w:font w:name="Californian FB">
    <w:panose1 w:val="0207040306080B030204"/>
    <w:charset w:val="00"/>
    <w:family w:val="auto"/>
    <w:pitch w:val="variable"/>
    <w:sig w:usb0="00000003" w:usb1="00000000" w:usb2="00000000" w:usb3="00000000" w:csb0="20000001" w:csb1="00000000"/>
  </w:font>
  <w:font w:name="Bernard MT Condensed">
    <w:panose1 w:val="02050806060905020404"/>
    <w:charset w:val="00"/>
    <w:family w:val="auto"/>
    <w:pitch w:val="variable"/>
    <w:sig w:usb0="00000003" w:usb1="00000000" w:usb2="00000000" w:usb3="00000000" w:csb0="20000001" w:csb1="00000000"/>
  </w:font>
  <w:font w:name="Raavi">
    <w:panose1 w:val="020B0502040204020203"/>
    <w:charset w:val="00"/>
    <w:family w:val="auto"/>
    <w:pitch w:val="variable"/>
    <w:sig w:usb0="00020003" w:usb1="00000000" w:usb2="00000000" w:usb3="00000000" w:csb0="00000001" w:csb1="00000000"/>
  </w:font>
  <w:font w:name="icomoon">
    <w:panose1 w:val="00000000000000000000"/>
    <w:charset w:val="00"/>
    <w:family w:val="auto"/>
    <w:pitch w:val="variable"/>
    <w:sig w:usb0="00000000" w:usb1="00000000" w:usb2="00000000" w:usb3="00000000" w:csb0="00000001" w:csb1="00000000"/>
  </w:font>
  <w:font w:name="Shruti">
    <w:panose1 w:val="020B0502040204020203"/>
    <w:charset w:val="00"/>
    <w:family w:val="auto"/>
    <w:pitch w:val="variable"/>
    <w:sig w:usb0="00040003" w:usb1="00000000" w:usb2="00000000" w:usb3="00000000" w:csb0="00000001" w:csb1="00000000"/>
  </w:font>
  <w:font w:name="Edwardian Script ITC">
    <w:panose1 w:val="030303020407070D0804"/>
    <w:charset w:val="00"/>
    <w:family w:val="auto"/>
    <w:pitch w:val="variable"/>
    <w:sig w:usb0="00000003" w:usb1="00000000" w:usb2="00000000" w:usb3="00000000" w:csb0="20000001" w:csb1="00000000"/>
  </w:font>
  <w:font w:name="Sendnya">
    <w:altName w:val="Segoe Print"/>
    <w:panose1 w:val="00000400000000000000"/>
    <w:charset w:val="01"/>
    <w:family w:val="auto"/>
    <w:pitch w:val="variable"/>
    <w:sig w:usb0="00000000" w:usb1="00000000" w:usb2="00000000" w:usb3="00000000" w:csb0="00000000" w:csb1="00000000"/>
  </w:font>
  <w:font w:name="Gautami">
    <w:panose1 w:val="020B0502040204020203"/>
    <w:charset w:val="00"/>
    <w:family w:val="auto"/>
    <w:pitch w:val="variable"/>
    <w:sig w:usb0="00200003" w:usb1="00000000" w:usb2="00000000" w:usb3="00000000" w:csb0="00000001" w:csb1="00000000"/>
  </w:font>
  <w:font w:name="Gill Sans Ultra Bold">
    <w:panose1 w:val="020B0A02020104020203"/>
    <w:charset w:val="00"/>
    <w:family w:val="auto"/>
    <w:pitch w:val="variable"/>
    <w:sig w:usb0="00000003" w:usb1="00000000" w:usb2="00000000" w:usb3="00000000" w:csb0="20000003" w:csb1="00000000"/>
  </w:font>
  <w:font w:name="Tunga">
    <w:panose1 w:val="020B0502040204020203"/>
    <w:charset w:val="00"/>
    <w:family w:val="auto"/>
    <w:pitch w:val="variable"/>
    <w:sig w:usb0="00400003" w:usb1="00000000" w:usb2="00000000" w:usb3="00000000" w:csb0="00000001" w:csb1="00000000"/>
  </w:font>
  <w:font w:name="Estrangelo Edessa">
    <w:panose1 w:val="03080600000000000000"/>
    <w:charset w:val="00"/>
    <w:family w:val="auto"/>
    <w:pitch w:val="variable"/>
    <w:sig w:usb0="80002043" w:usb1="00000000" w:usb2="00000080" w:usb3="00000000" w:csb0="00000001" w:csb1="00000000"/>
  </w:font>
  <w:font w:name="Cambria Math">
    <w:panose1 w:val="02040503050406030204"/>
    <w:charset w:val="00"/>
    <w:family w:val="auto"/>
    <w:pitch w:val="variable"/>
    <w:sig w:usb0="E00002FF" w:usb1="420024FF" w:usb2="00000000" w:usb3="00000000" w:csb0="2000019F" w:csb1="00000000"/>
  </w:font>
  <w:font w:name="Arial Unicode MS">
    <w:panose1 w:val="020B0604020202020204"/>
    <w:charset w:val="86"/>
    <w:family w:val="auto"/>
    <w:pitch w:val="variable"/>
    <w:sig w:usb0="FFFFFFFF" w:usb1="E9FFFFFF" w:usb2="0000003F" w:usb3="00000000" w:csb0="603F01FF" w:csb1="FFFF0000"/>
  </w:font>
  <w:font w:name="MS Outlook">
    <w:panose1 w:val="05010100010000000000"/>
    <w:charset w:val="02"/>
    <w:family w:val="auto"/>
    <w:pitch w:val="variable"/>
    <w:sig w:usb0="00000000" w:usb1="00000000" w:usb2="00000000" w:usb3="00000000" w:csb0="80000000" w:csb1="00000000"/>
  </w:font>
  <w:font w:name="Cambria">
    <w:panose1 w:val="02040503050406030204"/>
    <w:charset w:val="00"/>
    <w:family w:val="auto"/>
    <w:pitch w:val="variable"/>
    <w:sig w:usb0="E00002FF" w:usb1="400004FF" w:usb2="00000000" w:usb3="00000000" w:csb0="2000019F" w:csb1="00000000"/>
  </w:font>
  <w:font w:name="Trebuchet MS">
    <w:panose1 w:val="020B0603020202020204"/>
    <w:charset w:val="00"/>
    <w:family w:val="auto"/>
    <w:pitch w:val="variable"/>
    <w:sig w:usb0="00000287" w:usb1="00000000" w:usb2="00000000" w:usb3="00000000" w:csb0="2000009F" w:csb1="00000000"/>
  </w:font>
  <w:font w:name="Bodoni MT Poster Compressed">
    <w:panose1 w:val="02070706080601050204"/>
    <w:charset w:val="00"/>
    <w:family w:val="auto"/>
    <w:pitch w:val="variable"/>
    <w:sig w:usb0="00000003" w:usb1="00000000" w:usb2="00000000" w:usb3="00000000" w:csb0="20000011" w:csb1="00000000"/>
  </w:font>
  <w:font w:name="仿宋_GB2312">
    <w:panose1 w:val="02010609030101010101"/>
    <w:charset w:val="86"/>
    <w:family w:val="auto"/>
    <w:pitch w:val="fixed"/>
    <w:sig w:usb0="00000001" w:usb1="080E0000" w:usb2="00000000" w:usb3="00000000" w:csb0="00040000" w:csb1="00000000"/>
  </w:font>
  <w:font w:name="Simplified Arabic Fixed">
    <w:panose1 w:val="02070309020205020404"/>
    <w:charset w:val="00"/>
    <w:family w:val="auto"/>
    <w:pitch w:val="fixed"/>
    <w:sig w:usb0="00002003" w:usb1="00000000" w:usb2="00000000" w:usb3="00000000" w:csb0="00000041" w:csb1="20080000"/>
  </w:font>
  <w:font w:name="Microsoft JhengHei">
    <w:panose1 w:val="020B0604030504040204"/>
    <w:charset w:val="88"/>
    <w:family w:val="auto"/>
    <w:pitch w:val="variable"/>
    <w:sig w:usb0="00000087" w:usb1="28AF4000" w:usb2="00000016" w:usb3="00000000" w:csb0="00100009" w:csb1="00000000"/>
  </w:font>
  <w:font w:name="方正小标宋简体">
    <w:altName w:val="Arial Unicode MS"/>
    <w:panose1 w:val="00000000000000000000"/>
    <w:charset w:val="86"/>
    <w:family w:val="auto"/>
    <w:pitch w:val="default"/>
    <w:sig w:usb0="00000000"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Bell MT">
    <w:panose1 w:val="02020503060305020303"/>
    <w:charset w:val="00"/>
    <w:family w:val="auto"/>
    <w:pitch w:val="variable"/>
    <w:sig w:usb0="00000003" w:usb1="00000000" w:usb2="00000000" w:usb3="00000000" w:csb0="20000001" w:csb1="00000000"/>
  </w:font>
  <w:font w:name="Wingdings 2">
    <w:panose1 w:val="05020102010507070707"/>
    <w:charset w:val="02"/>
    <w:family w:val="auto"/>
    <w:pitch w:val="variable"/>
    <w:sig w:usb0="00000000" w:usb1="00000000" w:usb2="00000000" w:usb3="00000000" w:csb0="80000000"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auto"/>
    <w:pitch w:val="variable"/>
    <w:sig w:usb0="B00002AF" w:usb1="69D77CFB" w:usb2="00000030" w:usb3="00000000" w:csb0="4008009F" w:csb1="DFD70000"/>
  </w:font>
  <w:font w:name="Wide Latin">
    <w:panose1 w:val="020A0A07050505020404"/>
    <w:charset w:val="00"/>
    <w:family w:val="auto"/>
    <w:pitch w:val="variable"/>
    <w:sig w:usb0="00000003" w:usb1="00000000" w:usb2="00000000" w:usb3="00000000" w:csb0="20000001" w:csb1="00000000"/>
  </w:font>
  <w:font w:name="BatangChe">
    <w:panose1 w:val="02030609000101010101"/>
    <w:charset w:val="81"/>
    <w:family w:val="auto"/>
    <w:pitch w:val="fixed"/>
    <w:sig w:usb0="B00002AF" w:usb1="69D77CFB" w:usb2="00000030" w:usb3="00000000" w:csb0="4008009F" w:csb1="DFD70000"/>
  </w:font>
  <w:font w:name="@BatangChe">
    <w:panose1 w:val="02030609000101010101"/>
    <w:charset w:val="81"/>
    <w:family w:val="auto"/>
    <w:pitch w:val="fixed"/>
    <w:sig w:usb0="B00002AF" w:usb1="69D77CFB" w:usb2="00000030" w:usb3="00000000" w:csb0="4008009F" w:csb1="DFD70000"/>
  </w:font>
  <w:font w:name="Gungsuh">
    <w:panose1 w:val="02030600000101010101"/>
    <w:charset w:val="81"/>
    <w:family w:val="auto"/>
    <w:pitch w:val="variable"/>
    <w:sig w:usb0="B00002AF" w:usb1="69D77CFB" w:usb2="00000030" w:usb3="00000000" w:csb0="4008009F" w:csb1="DFD70000"/>
  </w:font>
  <w:font w:name="@Gungsuh">
    <w:panose1 w:val="02030600000101010101"/>
    <w:charset w:val="81"/>
    <w:family w:val="auto"/>
    <w:pitch w:val="variable"/>
    <w:sig w:usb0="B00002AF" w:usb1="69D77CFB" w:usb2="00000030" w:usb3="00000000" w:csb0="4008009F" w:csb1="DFD70000"/>
  </w:font>
  <w:font w:name="Arial Narrow">
    <w:panose1 w:val="020B0606020202030204"/>
    <w:charset w:val="00"/>
    <w:family w:val="auto"/>
    <w:pitch w:val="variable"/>
    <w:sig w:usb0="00000287" w:usb1="00000800" w:usb2="00000000" w:usb3="00000000" w:csb0="2000009F" w:csb1="DFD70000"/>
  </w:font>
  <w:font w:name="GungsuhChe">
    <w:panose1 w:val="02030609000101010101"/>
    <w:charset w:val="81"/>
    <w:family w:val="auto"/>
    <w:pitch w:val="fixed"/>
    <w:sig w:usb0="B00002AF" w:usb1="69D77CFB" w:usb2="00000030" w:usb3="00000000" w:csb0="4008009F" w:csb1="DFD70000"/>
  </w:font>
  <w:font w:name="@GungsuhChe">
    <w:panose1 w:val="02030609000101010101"/>
    <w:charset w:val="81"/>
    <w:family w:val="auto"/>
    <w:pitch w:val="fixed"/>
    <w:sig w:usb0="B00002AF" w:usb1="69D77CFB" w:usb2="00000030" w:usb3="00000000" w:csb0="4008009F" w:csb1="DFD70000"/>
  </w:font>
  <w:font w:name="Perpetua Titling MT">
    <w:panose1 w:val="02020502060505020804"/>
    <w:charset w:val="00"/>
    <w:family w:val="auto"/>
    <w:pitch w:val="variable"/>
    <w:sig w:usb0="00000003" w:usb1="00000000" w:usb2="00000000" w:usb3="00000000" w:csb0="20000001" w:csb1="00000000"/>
  </w:font>
  <w:font w:name="Simplified Arabic">
    <w:panose1 w:val="02020603050405020304"/>
    <w:charset w:val="00"/>
    <w:family w:val="auto"/>
    <w:pitch w:val="variable"/>
    <w:sig w:usb0="00002003" w:usb1="00000000" w:usb2="00000000" w:usb3="00000000" w:csb0="00000041" w:csb1="20080000"/>
  </w:font>
  <w:font w:name="DaunPenh">
    <w:panose1 w:val="01010101010101010101"/>
    <w:charset w:val="00"/>
    <w:family w:val="auto"/>
    <w:pitch w:val="variable"/>
    <w:sig w:usb0="00000003" w:usb1="00000000" w:usb2="00010000" w:usb3="00000000" w:csb0="00000001" w:csb1="00000000"/>
  </w:font>
  <w:font w:name="Vani">
    <w:panose1 w:val="020B0502040204020203"/>
    <w:charset w:val="00"/>
    <w:family w:val="auto"/>
    <w:pitch w:val="variable"/>
    <w:sig w:usb0="00200003" w:usb1="00000000" w:usb2="00000000" w:usb3="00000000" w:csb0="00000001" w:csb1="00000000"/>
  </w:font>
  <w:font w:name="Modern No. 20">
    <w:panose1 w:val="02070704070505020303"/>
    <w:charset w:val="00"/>
    <w:family w:val="auto"/>
    <w:pitch w:val="variable"/>
    <w:sig w:usb0="00000003" w:usb1="00000000" w:usb2="00000000" w:usb3="00000000" w:csb0="20000001" w:csb1="00000000"/>
  </w:font>
  <w:font w:name="Bauhaus 93">
    <w:panose1 w:val="04030905020B02020C02"/>
    <w:charset w:val="00"/>
    <w:family w:val="auto"/>
    <w:pitch w:val="variable"/>
    <w:sig w:usb0="00000003" w:usb1="00000000" w:usb2="00000000" w:usb3="00000000" w:csb0="20000001" w:csb1="00000000"/>
  </w:font>
  <w:font w:name="@Gulim">
    <w:panose1 w:val="020B0600000101010101"/>
    <w:charset w:val="81"/>
    <w:family w:val="auto"/>
    <w:pitch w:val="variable"/>
    <w:sig w:usb0="B00002AF" w:usb1="69D77CFB" w:usb2="00000030" w:usb3="00000000" w:csb0="4008009F" w:csb1="DFD70000"/>
  </w:font>
  <w:font w:name="@MingLiU-ExtB">
    <w:panose1 w:val="02020500000000000000"/>
    <w:charset w:val="88"/>
    <w:family w:val="auto"/>
    <w:pitch w:val="variable"/>
    <w:sig w:usb0="8000002F" w:usb1="02000008" w:usb2="00000000" w:usb3="00000000" w:csb0="00100001" w:csb1="00000000"/>
  </w:font>
  <w:font w:name="GulimChe">
    <w:panose1 w:val="020B0609000101010101"/>
    <w:charset w:val="81"/>
    <w:family w:val="auto"/>
    <w:pitch w:val="fixed"/>
    <w:sig w:usb0="B00002AF" w:usb1="69D77CFB" w:usb2="00000030" w:usb3="00000000" w:csb0="4008009F" w:csb1="DFD70000"/>
  </w:font>
  <w:font w:name="@GulimChe">
    <w:panose1 w:val="020B0609000101010101"/>
    <w:charset w:val="81"/>
    <w:family w:val="auto"/>
    <w:pitch w:val="fixed"/>
    <w:sig w:usb0="B00002AF" w:usb1="69D77CFB" w:usb2="00000030" w:usb3="00000000" w:csb0="4008009F" w:csb1="DFD70000"/>
  </w:font>
  <w:font w:name="Kristen ITC">
    <w:panose1 w:val="03050502040202030202"/>
    <w:charset w:val="00"/>
    <w:family w:val="auto"/>
    <w:pitch w:val="variable"/>
    <w:sig w:usb0="00000003" w:usb1="00000000" w:usb2="00000000" w:usb3="00000000" w:csb0="20000001" w:csb1="00000000"/>
  </w:font>
  <w:font w:name="Segoe UI Symbol">
    <w:panose1 w:val="020B0502040204020203"/>
    <w:charset w:val="00"/>
    <w:family w:val="auto"/>
    <w:pitch w:val="variable"/>
    <w:sig w:usb0="8000006F" w:usb1="1200FBEF" w:usb2="0064C000" w:usb3="00000002" w:csb0="00000001" w:csb1="40000000"/>
  </w:font>
  <w:font w:name="@Dotum">
    <w:panose1 w:val="020B0600000101010101"/>
    <w:charset w:val="81"/>
    <w:family w:val="auto"/>
    <w:pitch w:val="variable"/>
    <w:sig w:usb0="B00002AF" w:usb1="69D77CFB" w:usb2="00000030" w:usb3="00000000" w:csb0="4008009F" w:csb1="DFD70000"/>
  </w:font>
  <w:font w:name="DotumChe">
    <w:panose1 w:val="020B0609000101010101"/>
    <w:charset w:val="81"/>
    <w:family w:val="auto"/>
    <w:pitch w:val="fixed"/>
    <w:sig w:usb0="B00002AF" w:usb1="69D77CFB" w:usb2="00000030" w:usb3="00000000" w:csb0="4008009F" w:csb1="DFD70000"/>
  </w:font>
  <w:font w:name="@DotumChe">
    <w:panose1 w:val="020B0609000101010101"/>
    <w:charset w:val="81"/>
    <w:family w:val="auto"/>
    <w:pitch w:val="fixed"/>
    <w:sig w:usb0="B00002AF" w:usb1="69D77CFB" w:usb2="00000030" w:usb3="00000000" w:csb0="4008009F" w:csb1="DFD70000"/>
  </w:font>
  <w:font w:name="Impact">
    <w:panose1 w:val="020B0806030902050204"/>
    <w:charset w:val="00"/>
    <w:family w:val="auto"/>
    <w:pitch w:val="variable"/>
    <w:sig w:usb0="00000287" w:usb1="00000000" w:usb2="00000000" w:usb3="00000000" w:csb0="2000009F" w:csb1="DFD70000"/>
  </w:font>
  <w:font w:name="Playbill">
    <w:panose1 w:val="040506030A0602020202"/>
    <w:charset w:val="00"/>
    <w:family w:val="auto"/>
    <w:pitch w:val="variable"/>
    <w:sig w:usb0="00000003" w:usb1="00000000" w:usb2="00000000" w:usb3="00000000" w:csb0="20000001" w:csb1="00000000"/>
  </w:font>
  <w:font w:name="Iskoola Pota">
    <w:panose1 w:val="020B0502040204020203"/>
    <w:charset w:val="00"/>
    <w:family w:val="auto"/>
    <w:pitch w:val="variable"/>
    <w:sig w:usb0="00000003" w:usb1="00000000" w:usb2="00000200" w:usb3="00000000" w:csb0="20000001" w:csb1="00000000"/>
  </w:font>
  <w:font w:name="Narkisim">
    <w:panose1 w:val="020E0502050101010101"/>
    <w:charset w:val="B1"/>
    <w:family w:val="auto"/>
    <w:pitch w:val="variable"/>
    <w:sig w:usb0="00000801" w:usb1="00000000" w:usb2="00000000" w:usb3="00000000" w:csb0="00000020" w:csb1="00200000"/>
  </w:font>
  <w:font w:name="Kalinga">
    <w:panose1 w:val="020B0502040204020203"/>
    <w:charset w:val="00"/>
    <w:family w:val="auto"/>
    <w:pitch w:val="variable"/>
    <w:sig w:usb0="00080003" w:usb1="00000000" w:usb2="00000000" w:usb3="00000000" w:csb0="00000001" w:csb1="00000000"/>
  </w:font>
  <w:font w:name="Microsoft Tai Le">
    <w:panose1 w:val="020B0502040204020203"/>
    <w:charset w:val="00"/>
    <w:family w:val="auto"/>
    <w:pitch w:val="variable"/>
    <w:sig w:usb0="00000003" w:usb1="00000000" w:usb2="40000000" w:usb3="00000000" w:csb0="00000001" w:csb1="00000000"/>
  </w:font>
  <w:font w:name="Kartika">
    <w:panose1 w:val="02020503030404060203"/>
    <w:charset w:val="00"/>
    <w:family w:val="auto"/>
    <w:pitch w:val="variable"/>
    <w:sig w:usb0="00800003" w:usb1="00000000" w:usb2="00000000" w:usb3="00000000" w:csb0="00000001" w:csb1="00000000"/>
  </w:font>
  <w:font w:name="Khmer UI">
    <w:panose1 w:val="020B0502040204020203"/>
    <w:charset w:val="00"/>
    <w:family w:val="auto"/>
    <w:pitch w:val="variable"/>
    <w:sig w:usb0="8000002F" w:usb1="0000204A" w:usb2="00010000" w:usb3="00000000" w:csb0="00000001" w:csb1="00000000"/>
  </w:font>
  <w:font w:name="Lao UI">
    <w:panose1 w:val="020B0502040204020203"/>
    <w:charset w:val="00"/>
    <w:family w:val="auto"/>
    <w:pitch w:val="variable"/>
    <w:sig w:usb0="02000003" w:usb1="00000000" w:usb2="00000000" w:usb3="00000000" w:csb0="00000001" w:csb1="00000000"/>
  </w:font>
  <w:font w:name="Haettenschweiler">
    <w:panose1 w:val="020B0706040902060204"/>
    <w:charset w:val="00"/>
    <w:family w:val="auto"/>
    <w:pitch w:val="variable"/>
    <w:sig w:usb0="00000287" w:usb1="00000000" w:usb2="00000000" w:usb3="00000000" w:csb0="2000009F" w:csb1="DFD70000"/>
  </w:font>
  <w:font w:name="@仿宋">
    <w:panose1 w:val="02010609060101010101"/>
    <w:charset w:val="86"/>
    <w:family w:val="auto"/>
    <w:pitch w:val="fixed"/>
    <w:sig w:usb0="800002BF" w:usb1="38CF7CFA" w:usb2="00000016" w:usb3="00000000" w:csb0="00040001" w:csb1="00000000"/>
  </w:font>
  <w:font w:name="Lucida Console">
    <w:panose1 w:val="020B0609040504020204"/>
    <w:charset w:val="00"/>
    <w:family w:val="auto"/>
    <w:pitch w:val="fixed"/>
    <w:sig w:usb0="8000028F" w:usb1="00001800" w:usb2="00000000" w:usb3="00000000" w:csb0="0000001F" w:csb1="D7D70000"/>
  </w:font>
  <w:font w:name="@华文中宋">
    <w:panose1 w:val="02010600040101010101"/>
    <w:charset w:val="86"/>
    <w:family w:val="auto"/>
    <w:pitch w:val="variable"/>
    <w:sig w:usb0="00000287" w:usb1="080F0000" w:usb2="00000000" w:usb3="00000000" w:csb0="0004009F" w:csb1="DFD70000"/>
  </w:font>
  <w:font w:name="Malgun Gothic">
    <w:panose1 w:val="020B0503020000020004"/>
    <w:charset w:val="81"/>
    <w:family w:val="auto"/>
    <w:pitch w:val="variable"/>
    <w:sig w:usb0="900002AF" w:usb1="01D77CFB" w:usb2="00000012" w:usb3="00000000" w:csb0="00080001" w:csb1="00000000"/>
  </w:font>
  <w:font w:name="@Malgun Gothic">
    <w:panose1 w:val="020B0503020000020004"/>
    <w:charset w:val="81"/>
    <w:family w:val="auto"/>
    <w:pitch w:val="variable"/>
    <w:sig w:usb0="900002AF" w:usb1="01D77CFB" w:usb2="00000012" w:usb3="00000000" w:csb0="00080001" w:csb1="00000000"/>
  </w:font>
  <w:font w:name="Bookman Old Style">
    <w:panose1 w:val="02050604050505020204"/>
    <w:charset w:val="00"/>
    <w:family w:val="auto"/>
    <w:pitch w:val="variable"/>
    <w:sig w:usb0="00000287" w:usb1="00000000" w:usb2="00000000" w:usb3="00000000" w:csb0="2000009F" w:csb1="DFD70000"/>
  </w:font>
  <w:font w:name="Meiryo">
    <w:panose1 w:val="020B0604030504040204"/>
    <w:charset w:val="80"/>
    <w:family w:val="auto"/>
    <w:pitch w:val="variable"/>
    <w:sig w:usb0="E10102FF" w:usb1="EAC7FFFF" w:usb2="00010012" w:usb3="00000000" w:csb0="6002009F" w:csb1="DFD70000"/>
  </w:font>
  <w:font w:name="@Meiryo">
    <w:panose1 w:val="020B0604030504040204"/>
    <w:charset w:val="80"/>
    <w:family w:val="auto"/>
    <w:pitch w:val="variable"/>
    <w:sig w:usb0="E10102FF" w:usb1="EAC7FFFF" w:usb2="00010012" w:usb3="00000000" w:csb0="6002009F" w:csb1="DFD70000"/>
  </w:font>
  <w:font w:name="Meiryo UI">
    <w:panose1 w:val="020B0604030504040204"/>
    <w:charset w:val="80"/>
    <w:family w:val="auto"/>
    <w:pitch w:val="variable"/>
    <w:sig w:usb0="E10102FF" w:usb1="EAC7FFFF" w:usb2="00010012" w:usb3="00000000" w:csb0="6002009F" w:csb1="DFD70000"/>
  </w:font>
  <w:font w:name="@Meiryo UI">
    <w:panose1 w:val="020B0604030504040204"/>
    <w:charset w:val="80"/>
    <w:family w:val="auto"/>
    <w:pitch w:val="variable"/>
    <w:sig w:usb0="E10102FF" w:usb1="EAC7FFFF" w:usb2="00010012" w:usb3="00000000" w:csb0="6002009F" w:csb1="DFD70000"/>
  </w:font>
  <w:font w:name="Microsoft Himalaya">
    <w:panose1 w:val="01010100010101010101"/>
    <w:charset w:val="00"/>
    <w:family w:val="auto"/>
    <w:pitch w:val="variable"/>
    <w:sig w:usb0="80000003" w:usb1="00010000" w:usb2="00000040" w:usb3="00000000" w:csb0="00000001" w:csb1="00000000"/>
  </w:font>
  <w:font w:name="@Microsoft JhengHei">
    <w:panose1 w:val="020B0604030504040204"/>
    <w:charset w:val="88"/>
    <w:family w:val="auto"/>
    <w:pitch w:val="variable"/>
    <w:sig w:usb0="00000087" w:usb1="28AF4000" w:usb2="00000016" w:usb3="00000000" w:csb0="00100009" w:csb1="00000000"/>
  </w:font>
  <w:font w:name="Franklin Gothic Heavy">
    <w:panose1 w:val="020B0903020102020204"/>
    <w:charset w:val="00"/>
    <w:family w:val="auto"/>
    <w:pitch w:val="variable"/>
    <w:sig w:usb0="00000287" w:usb1="00000000" w:usb2="00000000" w:usb3="00000000" w:csb0="2000009F" w:csb1="DFD70000"/>
  </w:font>
  <w:font w:name="微软雅黑">
    <w:panose1 w:val="020B0503020204020204"/>
    <w:charset w:val="86"/>
    <w:family w:val="auto"/>
    <w:pitch w:val="variable"/>
    <w:sig w:usb0="80000287" w:usb1="280F3C52" w:usb2="00000016" w:usb3="00000000" w:csb0="0004001F" w:csb1="00000000"/>
  </w:font>
  <w:font w:name="Webdings">
    <w:panose1 w:val="05030102010509060703"/>
    <w:charset w:val="02"/>
    <w:family w:val="auto"/>
    <w:pitch w:val="variable"/>
    <w:sig w:usb0="00000000" w:usb1="00000000" w:usb2="00000000" w:usb3="00000000" w:csb0="80000000" w:csb1="00000000"/>
  </w:font>
  <w:font w:name="@微软雅黑">
    <w:panose1 w:val="020B0503020204020204"/>
    <w:charset w:val="86"/>
    <w:family w:val="auto"/>
    <w:pitch w:val="variable"/>
    <w:sig w:usb0="80000287" w:usb1="280F3C52" w:usb2="00000016" w:usb3="00000000" w:csb0="0004001F" w:csb1="00000000"/>
  </w:font>
  <w:font w:name="@PMingLiU-ExtB">
    <w:panose1 w:val="02020500000000000000"/>
    <w:charset w:val="88"/>
    <w:family w:val="auto"/>
    <w:pitch w:val="variable"/>
    <w:sig w:usb0="8000002F" w:usb1="02000008" w:usb2="00000000" w:usb3="00000000" w:csb0="00100001" w:csb1="00000000"/>
  </w:font>
  <w:font w:name="@PMingLiU">
    <w:panose1 w:val="02020500000000000000"/>
    <w:charset w:val="88"/>
    <w:family w:val="auto"/>
    <w:pitch w:val="variable"/>
    <w:sig w:usb0="A00002FF" w:usb1="28CFFCFA" w:usb2="00000016" w:usb3="00000000" w:csb0="00100001" w:csb1="00000000"/>
  </w:font>
  <w:font w:name="MingLiU_HKSCS">
    <w:panose1 w:val="02020500000000000000"/>
    <w:charset w:val="88"/>
    <w:family w:val="auto"/>
    <w:pitch w:val="variable"/>
    <w:sig w:usb0="A00002FF" w:usb1="38CFFCFA" w:usb2="00000016" w:usb3="00000000" w:csb0="00100001" w:csb1="00000000"/>
  </w:font>
  <w:font w:name="@MingLiU_HKSCS">
    <w:panose1 w:val="02020500000000000000"/>
    <w:charset w:val="88"/>
    <w:family w:val="auto"/>
    <w:pitch w:val="variable"/>
    <w:sig w:usb0="A00002FF" w:usb1="38CFFCFA" w:usb2="00000016" w:usb3="00000000" w:csb0="00100001" w:csb1="00000000"/>
  </w:font>
  <w:font w:name="MingLiU-ExtB">
    <w:panose1 w:val="02020500000000000000"/>
    <w:charset w:val="88"/>
    <w:family w:val="auto"/>
    <w:pitch w:val="variable"/>
    <w:sig w:usb0="8000002F" w:usb1="02000008" w:usb2="00000000" w:usb3="00000000" w:csb0="00100001" w:csb1="00000000"/>
  </w:font>
  <w:font w:name="PMingLiU-ExtB">
    <w:panose1 w:val="02020500000000000000"/>
    <w:charset w:val="88"/>
    <w:family w:val="auto"/>
    <w:pitch w:val="variable"/>
    <w:sig w:usb0="8000002F" w:usb1="02000008" w:usb2="00000000" w:usb3="00000000" w:csb0="00100001" w:csb1="00000000"/>
  </w:font>
  <w:font w:name="MingLiU_HKSCS-ExtB">
    <w:panose1 w:val="02020500000000000000"/>
    <w:charset w:val="88"/>
    <w:family w:val="auto"/>
    <w:pitch w:val="variable"/>
    <w:sig w:usb0="8000002F" w:usb1="02000008" w:usb2="00000000" w:usb3="00000000" w:csb0="00100001" w:csb1="00000000"/>
  </w:font>
  <w:font w:name="@华文彩云">
    <w:panose1 w:val="02010800040101010101"/>
    <w:charset w:val="86"/>
    <w:family w:val="auto"/>
    <w:pitch w:val="variable"/>
    <w:sig w:usb0="00000001" w:usb1="080F0000" w:usb2="00000000" w:usb3="00000000" w:csb0="00040000" w:csb1="00000000"/>
  </w:font>
  <w:font w:name="@MingLiU_HKSCS-ExtB">
    <w:panose1 w:val="02020500000000000000"/>
    <w:charset w:val="88"/>
    <w:family w:val="auto"/>
    <w:pitch w:val="variable"/>
    <w:sig w:usb0="8000002F" w:usb1="02000008" w:usb2="00000000" w:usb3="00000000" w:csb0="00100001" w:csb1="00000000"/>
  </w:font>
  <w:font w:name="Utsaah">
    <w:panose1 w:val="020B0604020202020204"/>
    <w:charset w:val="00"/>
    <w:family w:val="auto"/>
    <w:pitch w:val="variable"/>
    <w:sig w:usb0="00008003" w:usb1="00000000" w:usb2="00000000" w:usb3="00000000" w:csb0="00000001" w:csb1="00000000"/>
  </w:font>
  <w:font w:name="Mongolian Baiti">
    <w:panose1 w:val="03000500000000000000"/>
    <w:charset w:val="00"/>
    <w:family w:val="auto"/>
    <w:pitch w:val="variable"/>
    <w:sig w:usb0="80000023" w:usb1="00000000" w:usb2="00020000" w:usb3="00000000" w:csb0="00000001" w:csb1="00000000"/>
  </w:font>
  <w:font w:name="@MS Gothic">
    <w:panose1 w:val="020B0609070205080204"/>
    <w:charset w:val="80"/>
    <w:family w:val="auto"/>
    <w:pitch w:val="fixed"/>
    <w:sig w:usb0="E00002FF" w:usb1="6AC7FDFB" w:usb2="00000012" w:usb3="00000000" w:csb0="4002009F" w:csb1="DFD70000"/>
  </w:font>
  <w:font w:name="NumberOnly">
    <w:panose1 w:val="020B0500000000000000"/>
    <w:charset w:val="00"/>
    <w:family w:val="auto"/>
    <w:pitch w:val="variable"/>
    <w:sig w:usb0="8000002F" w:usb1="10000048" w:usb2="00000000" w:usb3="00000000" w:csb0="00000111" w:csb1="40000000"/>
  </w:font>
  <w:font w:name="MS PGothic">
    <w:panose1 w:val="020B0600070205080204"/>
    <w:charset w:val="80"/>
    <w:family w:val="auto"/>
    <w:pitch w:val="variable"/>
    <w:sig w:usb0="E00002FF" w:usb1="6AC7FDFB" w:usb2="00000012" w:usb3="00000000" w:csb0="4002009F" w:csb1="DFD70000"/>
  </w:font>
  <w:font w:name="@MS PGothic">
    <w:panose1 w:val="020B0600070205080204"/>
    <w:charset w:val="80"/>
    <w:family w:val="auto"/>
    <w:pitch w:val="variable"/>
    <w:sig w:usb0="E00002FF" w:usb1="6AC7FDFB" w:usb2="00000012" w:usb3="00000000" w:csb0="4002009F" w:csb1="DFD70000"/>
  </w:font>
  <w:font w:name="MS UI Gothic">
    <w:panose1 w:val="020B0600070205080204"/>
    <w:charset w:val="80"/>
    <w:family w:val="auto"/>
    <w:pitch w:val="variable"/>
    <w:sig w:usb0="E00002FF" w:usb1="6AC7FDFB" w:usb2="00000012" w:usb3="00000000" w:csb0="4002009F" w:csb1="DFD70000"/>
  </w:font>
  <w:font w:name="@MS UI Gothic">
    <w:panose1 w:val="020B0600070205080204"/>
    <w:charset w:val="80"/>
    <w:family w:val="auto"/>
    <w:pitch w:val="variable"/>
    <w:sig w:usb0="E00002FF" w:usb1="6AC7FDFB" w:usb2="00000012" w:usb3="00000000" w:csb0="4002009F" w:csb1="DFD70000"/>
  </w:font>
  <w:font w:name="@MS Mincho">
    <w:panose1 w:val="02020609040205080304"/>
    <w:charset w:val="80"/>
    <w:family w:val="auto"/>
    <w:pitch w:val="fixed"/>
    <w:sig w:usb0="E00002FF" w:usb1="6AC7FDFB" w:usb2="00000012" w:usb3="00000000" w:csb0="4002009F" w:csb1="DFD70000"/>
  </w:font>
  <w:font w:name="Broadway">
    <w:panose1 w:val="04040905080B02020502"/>
    <w:charset w:val="00"/>
    <w:family w:val="auto"/>
    <w:pitch w:val="variable"/>
    <w:sig w:usb0="00000003" w:usb1="00000000" w:usb2="00000000" w:usb3="00000000" w:csb0="20000001" w:csb1="00000000"/>
  </w:font>
  <w:font w:name="MS PMincho">
    <w:panose1 w:val="02020600040205080304"/>
    <w:charset w:val="80"/>
    <w:family w:val="auto"/>
    <w:pitch w:val="variable"/>
    <w:sig w:usb0="E00002FF" w:usb1="6AC7FDFB" w:usb2="00000012" w:usb3="00000000" w:csb0="4002009F" w:csb1="DFD70000"/>
  </w:font>
  <w:font w:name="MoolBoran">
    <w:panose1 w:val="020B0100010101010101"/>
    <w:charset w:val="00"/>
    <w:family w:val="auto"/>
    <w:pitch w:val="variable"/>
    <w:sig w:usb0="8000000F" w:usb1="0000204A" w:usb2="00010000" w:usb3="00000000" w:csb0="00000001" w:csb1="00000000"/>
  </w:font>
  <w:font w:name="@MS PMincho">
    <w:panose1 w:val="02020600040205080304"/>
    <w:charset w:val="80"/>
    <w:family w:val="auto"/>
    <w:pitch w:val="variable"/>
    <w:sig w:usb0="E00002FF" w:usb1="6AC7FDFB" w:usb2="00000012" w:usb3="00000000" w:csb0="4002009F" w:csb1="DFD70000"/>
  </w:font>
  <w:font w:name="Gigi">
    <w:panose1 w:val="04040504061007020D02"/>
    <w:charset w:val="00"/>
    <w:family w:val="auto"/>
    <w:pitch w:val="variable"/>
    <w:sig w:usb0="00000003" w:usb1="00000000" w:usb2="00000000" w:usb3="00000000" w:csb0="20000001" w:csb1="00000000"/>
  </w:font>
  <w:font w:name="MV Boli">
    <w:panose1 w:val="02000500030200090000"/>
    <w:charset w:val="00"/>
    <w:family w:val="auto"/>
    <w:pitch w:val="variable"/>
    <w:sig w:usb0="00000003" w:usb1="00000000" w:usb2="00000100" w:usb3="00000000" w:csb0="00000001" w:csb1="00000000"/>
  </w:font>
  <w:font w:name="Microsoft New Tai Lue">
    <w:panose1 w:val="020B0502040204020203"/>
    <w:charset w:val="00"/>
    <w:family w:val="auto"/>
    <w:pitch w:val="variable"/>
    <w:sig w:usb0="00000003" w:usb1="00000000" w:usb2="80000000" w:usb3="00000000" w:csb0="00000001" w:csb1="00000000"/>
  </w:font>
  <w:font w:name="Century Schoolbook">
    <w:panose1 w:val="02040604050505020304"/>
    <w:charset w:val="00"/>
    <w:family w:val="auto"/>
    <w:pitch w:val="variable"/>
    <w:sig w:usb0="00000287" w:usb1="00000000" w:usb2="00000000" w:usb3="00000000" w:csb0="2000009F" w:csb1="DFD70000"/>
  </w:font>
  <w:font w:name="Nyala">
    <w:panose1 w:val="02000504070300020003"/>
    <w:charset w:val="00"/>
    <w:family w:val="auto"/>
    <w:pitch w:val="variable"/>
    <w:sig w:usb0="A000006F" w:usb1="00000000" w:usb2="00000800" w:usb3="00000000" w:csb0="00000093" w:csb1="00000000"/>
  </w:font>
  <w:font w:name="Microsoft PhagsPa">
    <w:panose1 w:val="020B0502040204020203"/>
    <w:charset w:val="00"/>
    <w:family w:val="auto"/>
    <w:pitch w:val="variable"/>
    <w:sig w:usb0="00000003" w:usb1="00200000" w:usb2="08000000" w:usb3="00000000" w:csb0="00000001" w:csb1="00000000"/>
  </w:font>
  <w:font w:name="Plantagenet Cherokee">
    <w:panose1 w:val="02020602070100000000"/>
    <w:charset w:val="00"/>
    <w:family w:val="auto"/>
    <w:pitch w:val="variable"/>
    <w:sig w:usb0="00000003" w:usb1="00000000" w:usb2="00001000" w:usb3="00000000" w:csb0="00000001" w:csb1="00000000"/>
  </w:font>
  <w:font w:name="Gill Sans MT Ext Condensed Bold">
    <w:panose1 w:val="020B0902020104020203"/>
    <w:charset w:val="00"/>
    <w:family w:val="auto"/>
    <w:pitch w:val="variable"/>
    <w:sig w:usb0="00000003" w:usb1="00000000" w:usb2="00000000" w:usb3="00000000" w:csb0="20000003" w:csb1="00000000"/>
  </w:font>
  <w:font w:name="Calisto MT">
    <w:panose1 w:val="02040603050505030304"/>
    <w:charset w:val="00"/>
    <w:family w:val="auto"/>
    <w:pitch w:val="variable"/>
    <w:sig w:usb0="00000003" w:usb1="00000000" w:usb2="00000000" w:usb3="00000000" w:csb0="20000001" w:csb1="00000000"/>
  </w:font>
  <w:font w:name="Segoe Script">
    <w:panose1 w:val="020B0504020000000003"/>
    <w:charset w:val="00"/>
    <w:family w:val="auto"/>
    <w:pitch w:val="variable"/>
    <w:sig w:usb0="0000028F" w:usb1="00000000" w:usb2="00000000" w:usb3="00000000" w:csb0="0000009F" w:csb1="00000000"/>
  </w:font>
  <w:font w:name="EucrosiaUPC">
    <w:panose1 w:val="02020603050405020304"/>
    <w:charset w:val="00"/>
    <w:family w:val="auto"/>
    <w:pitch w:val="variable"/>
    <w:sig w:usb0="81000027" w:usb1="00000002" w:usb2="00000000" w:usb3="00000000" w:csb0="00010001" w:csb1="00000000"/>
  </w:font>
  <w:font w:name="Segoe UI">
    <w:panose1 w:val="020B0502040204020203"/>
    <w:charset w:val="00"/>
    <w:family w:val="auto"/>
    <w:pitch w:val="variable"/>
    <w:sig w:usb0="E10022FF" w:usb1="C000E47F" w:usb2="00000029" w:usb3="00000000" w:csb0="200001DF" w:csb1="20000000"/>
  </w:font>
  <w:font w:name="Segoe UI Semibold">
    <w:panose1 w:val="020B0702040204020203"/>
    <w:charset w:val="00"/>
    <w:family w:val="auto"/>
    <w:pitch w:val="variable"/>
    <w:sig w:usb0="E00002FF" w:usb1="4000A47B" w:usb2="00000001" w:usb3="00000000" w:csb0="2000019F" w:csb1="00000000"/>
  </w:font>
  <w:font w:name="Gill Sans Ultra Bold Condensed">
    <w:panose1 w:val="020B0A06020104020203"/>
    <w:charset w:val="00"/>
    <w:family w:val="auto"/>
    <w:pitch w:val="variable"/>
    <w:sig w:usb0="00000003" w:usb1="00000000" w:usb2="00000000" w:usb3="00000000" w:csb0="00000003" w:csb1="00000000"/>
  </w:font>
  <w:font w:name="Segoe UI Light">
    <w:panose1 w:val="020B0502040204020203"/>
    <w:charset w:val="00"/>
    <w:family w:val="auto"/>
    <w:pitch w:val="variable"/>
    <w:sig w:usb0="E00002FF" w:usb1="4000A47B" w:usb2="00000001" w:usb3="00000000" w:csb0="2000019F" w:csb1="00000000"/>
  </w:font>
  <w:font w:name="@宋体">
    <w:panose1 w:val="02010600030101010101"/>
    <w:charset w:val="86"/>
    <w:family w:val="auto"/>
    <w:pitch w:val="variable"/>
    <w:sig w:usb0="00000003" w:usb1="288F0000" w:usb2="00000006" w:usb3="00000000" w:csb0="00040001" w:csb1="00000000"/>
  </w:font>
  <w:font w:name="Papyrus">
    <w:panose1 w:val="03070502060502030205"/>
    <w:charset w:val="00"/>
    <w:family w:val="auto"/>
    <w:pitch w:val="variable"/>
    <w:sig w:usb0="00000003" w:usb1="00000000" w:usb2="00000000" w:usb3="00000000" w:csb0="20000001" w:csb1="00000000"/>
  </w:font>
  <w:font w:name="幼圆">
    <w:panose1 w:val="02010509060101010101"/>
    <w:charset w:val="86"/>
    <w:family w:val="auto"/>
    <w:pitch w:val="fixed"/>
    <w:sig w:usb0="00000001" w:usb1="080E0000" w:usb2="00000000" w:usb3="00000000" w:csb0="00040000" w:csb1="00000000"/>
  </w:font>
  <w:font w:name="DFKai-SB">
    <w:panose1 w:val="03000509000000000000"/>
    <w:charset w:val="88"/>
    <w:family w:val="auto"/>
    <w:pitch w:val="fixed"/>
    <w:sig w:usb0="00000003" w:usb1="082E0000" w:usb2="00000016" w:usb3="00000000" w:csb0="00100001" w:csb1="00000000"/>
  </w:font>
  <w:font w:name="新宋体">
    <w:panose1 w:val="02010609030101010101"/>
    <w:charset w:val="86"/>
    <w:family w:val="auto"/>
    <w:pitch w:val="fixed"/>
    <w:sig w:usb0="00000003" w:usb1="288F0000" w:usb2="00000006" w:usb3="00000000" w:csb0="00040001" w:csb1="00000000"/>
  </w:font>
  <w:font w:name="@新宋体">
    <w:panose1 w:val="02010609030101010101"/>
    <w:charset w:val="86"/>
    <w:family w:val="auto"/>
    <w:pitch w:val="fixed"/>
    <w:sig w:usb0="00000003" w:usb1="288F0000" w:usb2="00000006" w:usb3="00000000" w:csb0="00040001" w:csb1="00000000"/>
  </w:font>
  <w:font w:name="SimSun-ExtB">
    <w:panose1 w:val="02010609060101010101"/>
    <w:charset w:val="86"/>
    <w:family w:val="auto"/>
    <w:pitch w:val="fixed"/>
    <w:sig w:usb0="00000001" w:usb1="02000000" w:usb2="00000000" w:usb3="00000000" w:csb0="00040001" w:csb1="00000000"/>
  </w:font>
  <w:font w:name="@SimSun-ExtB">
    <w:panose1 w:val="02010609060101010101"/>
    <w:charset w:val="86"/>
    <w:family w:val="auto"/>
    <w:pitch w:val="fixed"/>
    <w:sig w:usb0="00000001" w:usb1="02000000" w:usb2="00000000" w:usb3="00000000" w:csb0="00040001" w:csb1="00000000"/>
  </w:font>
  <w:font w:name="Palatino Linotype">
    <w:panose1 w:val="02040502050505030304"/>
    <w:charset w:val="00"/>
    <w:family w:val="auto"/>
    <w:pitch w:val="variable"/>
    <w:sig w:usb0="E0000287" w:usb1="40000013" w:usb2="00000000" w:usb3="00000000" w:csb0="2000019F" w:csb1="00000000"/>
  </w:font>
  <w:font w:name="Shonar Bangla">
    <w:panose1 w:val="020B0502040204020203"/>
    <w:charset w:val="00"/>
    <w:family w:val="auto"/>
    <w:pitch w:val="variable"/>
    <w:sig w:usb0="00010003" w:usb1="00000000" w:usb2="00000000" w:usb3="00000000" w:csb0="00000001" w:csb1="00000000"/>
  </w:font>
  <w:font w:name="Microsoft Yi Baiti">
    <w:panose1 w:val="03000500000000000000"/>
    <w:charset w:val="00"/>
    <w:family w:val="auto"/>
    <w:pitch w:val="variable"/>
    <w:sig w:usb0="80000003" w:usb1="00010402" w:usb2="00080002" w:usb3="00000000" w:csb0="00000001" w:csb1="00000000"/>
  </w:font>
  <w:font w:name="Tahoma">
    <w:panose1 w:val="020B0604030504040204"/>
    <w:charset w:val="00"/>
    <w:family w:val="auto"/>
    <w:pitch w:val="variable"/>
    <w:sig w:usb0="E1002EFF" w:usb1="C000605B" w:usb2="00000029" w:usb3="00000000" w:csb0="200101FF" w:csb1="20280000"/>
  </w:font>
  <w:font w:name="OCR A Extended">
    <w:panose1 w:val="02010509020102010303"/>
    <w:charset w:val="00"/>
    <w:family w:val="auto"/>
    <w:pitch w:val="variable"/>
    <w:sig w:usb0="00000003" w:usb1="00000000" w:usb2="00000000" w:usb3="00000000" w:csb0="20000001" w:csb1="00000000"/>
  </w:font>
  <w:font w:name="Aparajita">
    <w:panose1 w:val="020B0604020202020204"/>
    <w:charset w:val="00"/>
    <w:family w:val="auto"/>
    <w:pitch w:val="variable"/>
    <w:sig w:usb0="00008003" w:usb1="00000000" w:usb2="00000000" w:usb3="00000000" w:csb0="00000001" w:csb1="00000000"/>
  </w:font>
  <w:font w:name="Ebrima">
    <w:panose1 w:val="02000000000000000000"/>
    <w:charset w:val="00"/>
    <w:family w:val="auto"/>
    <w:pitch w:val="variable"/>
    <w:sig w:usb0="A000505F" w:usb1="02000041" w:usb2="00000000" w:usb3="00000404" w:csb0="00000093" w:csb1="00000000"/>
  </w:font>
  <w:font w:name="Gisha">
    <w:panose1 w:val="020B0502040204020203"/>
    <w:charset w:val="00"/>
    <w:family w:val="auto"/>
    <w:pitch w:val="variable"/>
    <w:sig w:usb0="80000807" w:usb1="40000042" w:usb2="00000000" w:usb3="00000000" w:csb0="00000021" w:csb1="00000000"/>
  </w:font>
  <w:font w:name="Lucida Calligraphy">
    <w:panose1 w:val="03010101010101010101"/>
    <w:charset w:val="00"/>
    <w:family w:val="auto"/>
    <w:pitch w:val="variable"/>
    <w:sig w:usb0="00000003" w:usb1="00000000" w:usb2="00000000" w:usb3="00000000" w:csb0="20000001" w:csb1="00000000"/>
  </w:font>
  <w:font w:name="Kokila">
    <w:panose1 w:val="020B0604020202020204"/>
    <w:charset w:val="00"/>
    <w:family w:val="auto"/>
    <w:pitch w:val="variable"/>
    <w:sig w:usb0="00008003" w:usb1="00000000" w:usb2="00000000" w:usb3="00000000" w:csb0="00000001" w:csb1="00000000"/>
  </w:font>
  <w:font w:name="Leelawadee">
    <w:panose1 w:val="020B0502040204020203"/>
    <w:charset w:val="00"/>
    <w:family w:val="auto"/>
    <w:pitch w:val="variable"/>
    <w:sig w:usb0="810000AF" w:usb1="4000204B" w:usb2="00000000" w:usb3="00000000" w:csb0="20010001" w:csb1="00000000"/>
  </w:font>
  <w:font w:name="Microsoft Uighur">
    <w:panose1 w:val="02000000000000000000"/>
    <w:charset w:val="00"/>
    <w:family w:val="auto"/>
    <w:pitch w:val="variable"/>
    <w:sig w:usb0="00002003" w:usb1="80000000" w:usb2="00000008" w:usb3="00000000" w:csb0="00000041" w:csb1="00000000"/>
  </w:font>
  <w:font w:name="Traditional Arabic">
    <w:panose1 w:val="02020603050405020304"/>
    <w:charset w:val="00"/>
    <w:family w:val="auto"/>
    <w:pitch w:val="variable"/>
    <w:sig w:usb0="00006003" w:usb1="80000000" w:usb2="00000008" w:usb3="00000000" w:csb0="00000041" w:csb1="20080000"/>
  </w:font>
  <w:font w:name="Vijaya">
    <w:panose1 w:val="020B0604020202020204"/>
    <w:charset w:val="00"/>
    <w:family w:val="auto"/>
    <w:pitch w:val="variable"/>
    <w:sig w:usb0="00100003" w:usb1="00000000" w:usb2="00000000" w:usb3="00000000" w:csb0="00000001" w:csb1="00000000"/>
  </w:font>
  <w:font w:name="Andalus">
    <w:panose1 w:val="02020603050405020304"/>
    <w:charset w:val="00"/>
    <w:family w:val="auto"/>
    <w:pitch w:val="variable"/>
    <w:sig w:usb0="00002003" w:usb1="80000000" w:usb2="00000008" w:usb3="00000000" w:csb0="00000041" w:csb1="20080000"/>
  </w:font>
  <w:font w:name="Arabic Typesetting">
    <w:panose1 w:val="03020402040406030203"/>
    <w:charset w:val="00"/>
    <w:family w:val="auto"/>
    <w:pitch w:val="variable"/>
    <w:sig w:usb0="A000206F" w:usb1="C0000000" w:usb2="00000008" w:usb3="00000000" w:csb0="200000D3" w:csb1="00000000"/>
  </w:font>
  <w:font w:name="Sakkal Majalla">
    <w:panose1 w:val="02000000000000000000"/>
    <w:charset w:val="00"/>
    <w:family w:val="auto"/>
    <w:pitch w:val="variable"/>
    <w:sig w:usb0="A000207F" w:usb1="C000204B" w:usb2="00000008" w:usb3="00000000" w:csb0="200000D3" w:csb1="00000000"/>
  </w:font>
  <w:font w:name="Aharoni">
    <w:panose1 w:val="02010803020104030203"/>
    <w:charset w:val="B1"/>
    <w:family w:val="auto"/>
    <w:pitch w:val="variable"/>
    <w:sig w:usb0="00000801" w:usb1="00000000" w:usb2="00000000" w:usb3="00000000" w:csb0="00000020" w:csb1="00200000"/>
  </w:font>
  <w:font w:name="@方正小标宋简体">
    <w:altName w:val="宋体"/>
    <w:panose1 w:val="00000000000000000000"/>
    <w:charset w:val="86"/>
    <w:family w:val="auto"/>
    <w:pitch w:val="default"/>
    <w:sig w:usb0="00000000" w:usb1="080E0000" w:usb2="00000000" w:usb3="00000000" w:csb0="00040000" w:csb1="00000000"/>
  </w:font>
  <w:font w:name="David">
    <w:panose1 w:val="020E0502060401010101"/>
    <w:charset w:val="B1"/>
    <w:family w:val="auto"/>
    <w:pitch w:val="variable"/>
    <w:sig w:usb0="00000801" w:usb1="00000000" w:usb2="00000000" w:usb3="00000000" w:csb0="00000020" w:csb1="00200000"/>
  </w:font>
  <w:font w:name="FrankRuehl">
    <w:panose1 w:val="020E0503060101010101"/>
    <w:charset w:val="B1"/>
    <w:family w:val="auto"/>
    <w:pitch w:val="variable"/>
    <w:sig w:usb0="00000801" w:usb1="00000000" w:usb2="00000000" w:usb3="00000000" w:csb0="00000020" w:csb1="00200000"/>
  </w:font>
  <w:font w:name="Levenim MT">
    <w:panose1 w:val="02010502060101010101"/>
    <w:charset w:val="B1"/>
    <w:family w:val="auto"/>
    <w:pitch w:val="variable"/>
    <w:sig w:usb0="00000801" w:usb1="00000000" w:usb2="00000000" w:usb3="00000000" w:csb0="00000020" w:csb1="00200000"/>
  </w:font>
  <w:font w:name="Berlin Sans FB">
    <w:panose1 w:val="020E0602020502020306"/>
    <w:charset w:val="00"/>
    <w:family w:val="auto"/>
    <w:pitch w:val="variable"/>
    <w:sig w:usb0="00000003" w:usb1="00000000" w:usb2="00000000" w:usb3="00000000" w:csb0="20000001" w:csb1="00000000"/>
  </w:font>
  <w:font w:name="Miriam">
    <w:panose1 w:val="020B0502050101010101"/>
    <w:charset w:val="B1"/>
    <w:family w:val="auto"/>
    <w:pitch w:val="variable"/>
    <w:sig w:usb0="00000801" w:usb1="00000000" w:usb2="00000000" w:usb3="00000000" w:csb0="00000020" w:csb1="00200000"/>
  </w:font>
  <w:font w:name="Harlow Solid Italic">
    <w:panose1 w:val="04030604020F02020D02"/>
    <w:charset w:val="00"/>
    <w:family w:val="auto"/>
    <w:pitch w:val="variable"/>
    <w:sig w:usb0="00000003" w:usb1="00000000" w:usb2="00000000" w:usb3="00000000" w:csb0="20000001" w:csb1="00000000"/>
  </w:font>
  <w:font w:name="Miriam Fixed">
    <w:panose1 w:val="020B0509050101010101"/>
    <w:charset w:val="B1"/>
    <w:family w:val="auto"/>
    <w:pitch w:val="fixed"/>
    <w:sig w:usb0="00000801" w:usb1="00000000" w:usb2="00000000" w:usb3="00000000" w:csb0="00000020" w:csb1="00200000"/>
  </w:font>
  <w:font w:name="Rod">
    <w:panose1 w:val="02030509050101010101"/>
    <w:charset w:val="B1"/>
    <w:family w:val="auto"/>
    <w:pitch w:val="fixed"/>
    <w:sig w:usb0="00000801" w:usb1="00000000" w:usb2="00000000" w:usb3="00000000" w:csb0="00000020" w:csb1="00200000"/>
  </w:font>
  <w:font w:name="Bodoni MT">
    <w:panose1 w:val="02070603080606020203"/>
    <w:charset w:val="00"/>
    <w:family w:val="auto"/>
    <w:pitch w:val="variable"/>
    <w:sig w:usb0="00000003" w:usb1="00000000" w:usb2="00000000" w:usb3="00000000" w:csb0="2000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MS Reference Specialty">
    <w:panose1 w:val="05000500000000000000"/>
    <w:charset w:val="02"/>
    <w:family w:val="auto"/>
    <w:pitch w:val="variable"/>
    <w:sig w:usb0="00000000" w:usb1="00000000" w:usb2="00000000" w:usb3="00000000" w:csb0="80000000" w:csb1="00000000"/>
  </w:font>
  <w:font w:name="AngsanaUPC">
    <w:panose1 w:val="02020603050405020304"/>
    <w:charset w:val="00"/>
    <w:family w:val="auto"/>
    <w:pitch w:val="variable"/>
    <w:sig w:usb0="81000003" w:usb1="00000000" w:usb2="00000000" w:usb3="00000000" w:csb0="00010001" w:csb1="00000000"/>
  </w:font>
  <w:font w:name="Browallia New">
    <w:panose1 w:val="020B0604020202020204"/>
    <w:charset w:val="00"/>
    <w:family w:val="auto"/>
    <w:pitch w:val="variable"/>
    <w:sig w:usb0="81000003" w:usb1="00000000" w:usb2="00000000" w:usb3="00000000" w:csb0="00010001" w:csb1="00000000"/>
  </w:font>
  <w:font w:name="BrowalliaUPC">
    <w:panose1 w:val="020B0604020202020204"/>
    <w:charset w:val="00"/>
    <w:family w:val="auto"/>
    <w:pitch w:val="variable"/>
    <w:sig w:usb0="81000003" w:usb1="00000000" w:usb2="00000000" w:usb3="00000000" w:csb0="00010001" w:csb1="00000000"/>
  </w:font>
  <w:font w:name="Informal Roman">
    <w:panose1 w:val="030604020304060B0204"/>
    <w:charset w:val="00"/>
    <w:family w:val="auto"/>
    <w:pitch w:val="variable"/>
    <w:sig w:usb0="00000003" w:usb1="00000000" w:usb2="00000000" w:usb3="00000000" w:csb0="20000001" w:csb1="00000000"/>
  </w:font>
  <w:font w:name="CordiaUPC">
    <w:panose1 w:val="020B0304020202020204"/>
    <w:charset w:val="00"/>
    <w:family w:val="auto"/>
    <w:pitch w:val="variable"/>
    <w:sig w:usb0="81000003" w:usb1="00000000" w:usb2="00000000" w:usb3="00000000" w:csb0="00010001" w:csb1="00000000"/>
  </w:font>
  <w:font w:name="DilleniaUPC">
    <w:panose1 w:val="02020603050405020304"/>
    <w:charset w:val="00"/>
    <w:family w:val="auto"/>
    <w:pitch w:val="variable"/>
    <w:sig w:usb0="81000027" w:usb1="00000002" w:usb2="00000000" w:usb3="00000000" w:csb0="00010001" w:csb1="00000000"/>
  </w:font>
  <w:font w:name="FreesiaUPC">
    <w:panose1 w:val="020B0604020202020204"/>
    <w:charset w:val="00"/>
    <w:family w:val="auto"/>
    <w:pitch w:val="variable"/>
    <w:sig w:usb0="01000007" w:usb1="00000002" w:usb2="00000000" w:usb3="00000000" w:csb0="00010001" w:csb1="00000000"/>
  </w:font>
  <w:font w:name="JasmineUPC">
    <w:panose1 w:val="02020603050405020304"/>
    <w:charset w:val="00"/>
    <w:family w:val="auto"/>
    <w:pitch w:val="variable"/>
    <w:sig w:usb0="01000007" w:usb1="00000002" w:usb2="00000000" w:usb3="00000000" w:csb0="00010001" w:csb1="00000000"/>
  </w:font>
  <w:font w:name="@方正姚体">
    <w:panose1 w:val="02010601030101010101"/>
    <w:charset w:val="86"/>
    <w:family w:val="auto"/>
    <w:pitch w:val="variable"/>
    <w:sig w:usb0="00000003" w:usb1="080E0000" w:usb2="00000000" w:usb3="00000000" w:csb0="00040000" w:csb1="00000000"/>
  </w:font>
  <w:font w:name="KodchiangUPC">
    <w:panose1 w:val="02020603050405020304"/>
    <w:charset w:val="00"/>
    <w:family w:val="auto"/>
    <w:pitch w:val="variable"/>
    <w:sig w:usb0="01000007" w:usb1="00000002" w:usb2="00000000" w:usb3="00000000" w:csb0="00010001" w:csb1="00000000"/>
  </w:font>
  <w:font w:name="LilyUPC">
    <w:panose1 w:val="020B0604020202020204"/>
    <w:charset w:val="00"/>
    <w:family w:val="auto"/>
    <w:pitch w:val="variable"/>
    <w:sig w:usb0="01000007" w:usb1="00000002" w:usb2="00000000" w:usb3="00000000" w:csb0="00010001" w:csb1="00000000"/>
  </w:font>
  <w:font w:name="Garamond">
    <w:panose1 w:val="02020404030301010803"/>
    <w:charset w:val="00"/>
    <w:family w:val="auto"/>
    <w:pitch w:val="variable"/>
    <w:sig w:usb0="00000287" w:usb1="00000000" w:usb2="00000000" w:usb3="00000000" w:csb0="0000009F" w:csb1="DFD70000"/>
  </w:font>
  <w:font w:name="@DFKai-SB">
    <w:panose1 w:val="03000509000000000000"/>
    <w:charset w:val="88"/>
    <w:family w:val="auto"/>
    <w:pitch w:val="fixed"/>
    <w:sig w:usb0="00000003" w:usb1="082E0000" w:usb2="00000016" w:usb3="00000000" w:csb0="00100001" w:csb1="00000000"/>
  </w:font>
  <w:font w:name="Maiandra GD">
    <w:panose1 w:val="020E0502030308020204"/>
    <w:charset w:val="00"/>
    <w:family w:val="auto"/>
    <w:pitch w:val="variable"/>
    <w:sig w:usb0="00000003" w:usb1="00000000" w:usb2="00000000" w:usb3="00000000" w:csb0="20000001" w:csb1="00000000"/>
  </w:font>
  <w:font w:name="Lucida Sans Unicode">
    <w:panose1 w:val="020B0602030504020204"/>
    <w:charset w:val="00"/>
    <w:family w:val="auto"/>
    <w:pitch w:val="variable"/>
    <w:sig w:usb0="80001AFF" w:usb1="0000396B" w:usb2="00000000" w:usb3="00000000" w:csb0="200000BF" w:csb1="D7F70000"/>
  </w:font>
  <w:font w:name="华文琥珀">
    <w:panose1 w:val="02010800040101010101"/>
    <w:charset w:val="86"/>
    <w:family w:val="auto"/>
    <w:pitch w:val="variable"/>
    <w:sig w:usb0="00000001" w:usb1="080F0000" w:usb2="00000000" w:usb3="00000000" w:csb0="00040000" w:csb1="00000000"/>
  </w:font>
  <w:font w:name="Arial Black">
    <w:panose1 w:val="020B0A04020102020204"/>
    <w:charset w:val="00"/>
    <w:family w:val="auto"/>
    <w:pitch w:val="variable"/>
    <w:sig w:usb0="00000287" w:usb1="00000000" w:usb2="00000000" w:usb3="00000000" w:csb0="2000009F" w:csb1="DFD70000"/>
  </w:font>
  <w:font w:name="Lucida Bright">
    <w:panose1 w:val="02040602050505020304"/>
    <w:charset w:val="00"/>
    <w:family w:val="auto"/>
    <w:pitch w:val="variable"/>
    <w:sig w:usb0="00000003" w:usb1="00000000" w:usb2="00000000" w:usb3="00000000" w:csb0="20000001" w:csb1="00000000"/>
  </w:font>
  <w:font w:name="Candara">
    <w:panose1 w:val="020E0502030303020204"/>
    <w:charset w:val="00"/>
    <w:family w:val="auto"/>
    <w:pitch w:val="variable"/>
    <w:sig w:usb0="A00002EF" w:usb1="4000A44B" w:usb2="00000000" w:usb3="00000000" w:csb0="2000019F" w:csb1="00000000"/>
  </w:font>
  <w:font w:name="Comic Sans MS">
    <w:panose1 w:val="030F0702030302020204"/>
    <w:charset w:val="00"/>
    <w:family w:val="auto"/>
    <w:pitch w:val="variable"/>
    <w:sig w:usb0="00000287" w:usb1="00000000" w:usb2="00000000" w:usb3="00000000" w:csb0="2000009F" w:csb1="00000000"/>
  </w:font>
  <w:font w:name="Pristina">
    <w:panose1 w:val="03060402040406080204"/>
    <w:charset w:val="00"/>
    <w:family w:val="auto"/>
    <w:pitch w:val="variable"/>
    <w:sig w:usb0="00000003" w:usb1="00000000" w:usb2="00000000" w:usb3="00000000" w:csb0="20000001" w:csb1="00000000"/>
  </w:font>
  <w:font w:name="Consolas">
    <w:panose1 w:val="020B0609020204030204"/>
    <w:charset w:val="00"/>
    <w:family w:val="auto"/>
    <w:pitch w:val="fixed"/>
    <w:sig w:usb0="E10002FF" w:usb1="4000FCFF" w:usb2="00000009" w:usb3="00000000" w:csb0="6000019F" w:csb1="DFD70000"/>
  </w:font>
  <w:font w:name="Constantia">
    <w:panose1 w:val="02030602050306030303"/>
    <w:charset w:val="00"/>
    <w:family w:val="auto"/>
    <w:pitch w:val="variable"/>
    <w:sig w:usb0="A00002EF" w:usb1="4000204B" w:usb2="00000000" w:usb3="00000000" w:csb0="2000019F" w:csb1="00000000"/>
  </w:font>
  <w:font w:name="Corbel">
    <w:panose1 w:val="020B0503020204020204"/>
    <w:charset w:val="00"/>
    <w:family w:val="auto"/>
    <w:pitch w:val="variable"/>
    <w:sig w:usb0="A00002EF" w:usb1="4000A44B" w:usb2="00000000" w:usb3="00000000" w:csb0="2000019F" w:csb1="00000000"/>
  </w:font>
  <w:font w:name="Franklin Gothic Medium">
    <w:panose1 w:val="020B0603020102020204"/>
    <w:charset w:val="00"/>
    <w:family w:val="auto"/>
    <w:pitch w:val="variable"/>
    <w:sig w:usb0="00000287" w:usb1="00000000" w:usb2="00000000" w:usb3="00000000" w:csb0="2000009F" w:csb1="DFD70000"/>
  </w:font>
  <w:font w:name="Ravie">
    <w:panose1 w:val="04040805050809020602"/>
    <w:charset w:val="00"/>
    <w:family w:val="auto"/>
    <w:pitch w:val="variable"/>
    <w:sig w:usb0="00000003" w:usb1="00000000" w:usb2="00000000" w:usb3="00000000" w:csb0="20000001" w:csb1="00000000"/>
  </w:font>
  <w:font w:name="Georgia">
    <w:panose1 w:val="02040502050405020303"/>
    <w:charset w:val="00"/>
    <w:family w:val="auto"/>
    <w:pitch w:val="variable"/>
    <w:sig w:usb0="00000287" w:usb1="00000000" w:usb2="00000000" w:usb3="00000000" w:csb0="2000009F" w:csb1="00000000"/>
  </w:font>
  <w:font w:name="方正粗黑宋简体">
    <w:panose1 w:val="02000000000000000000"/>
    <w:charset w:val="86"/>
    <w:family w:val="auto"/>
    <w:pitch w:val="variable"/>
    <w:sig w:usb0="A00002BF" w:usb1="184F6CFA" w:usb2="00000012" w:usb3="00000000" w:csb0="00040001" w:csb1="00000000"/>
  </w:font>
  <w:font w:name="Elephant">
    <w:panose1 w:val="02020904090505020303"/>
    <w:charset w:val="00"/>
    <w:family w:val="auto"/>
    <w:pitch w:val="variable"/>
    <w:sig w:usb0="00000003" w:usb1="00000000" w:usb2="00000000" w:usb3="00000000" w:csb0="20000001" w:csb1="00000000"/>
  </w:font>
  <w:font w:name="Segoe Print">
    <w:panose1 w:val="02000600000000000000"/>
    <w:charset w:val="00"/>
    <w:family w:val="auto"/>
    <w:pitch w:val="variable"/>
    <w:sig w:usb0="0000028F" w:usb1="00000000" w:usb2="00000000" w:usb3="00000000" w:csb0="2000009F" w:csb1="47010000"/>
  </w:font>
  <w:font w:name="Verdana">
    <w:panose1 w:val="020B0604030504040204"/>
    <w:charset w:val="00"/>
    <w:family w:val="auto"/>
    <w:pitch w:val="variable"/>
    <w:sig w:usb0="A10006FF" w:usb1="4000205B" w:usb2="00000010" w:usb3="00000000" w:csb0="2000019F" w:csb1="00000000"/>
  </w:font>
  <w:font w:name="方正兰亭超细黑简体">
    <w:panose1 w:val="02000000000000000000"/>
    <w:charset w:val="86"/>
    <w:family w:val="auto"/>
    <w:pitch w:val="variable"/>
    <w:sig w:usb0="00000001" w:usb1="08000000" w:usb2="00000000" w:usb3="00000000" w:csb0="00040000" w:csb1="00000000"/>
  </w:font>
  <w:font w:name="@方正兰亭超细黑简体">
    <w:panose1 w:val="02000000000000000000"/>
    <w:charset w:val="86"/>
    <w:family w:val="auto"/>
    <w:pitch w:val="variable"/>
    <w:sig w:usb0="00000001" w:usb1="08000000" w:usb2="00000000" w:usb3="00000000" w:csb0="00040000" w:csb1="00000000"/>
  </w:font>
  <w:font w:name="MT Extra">
    <w:panose1 w:val="05050102010205020202"/>
    <w:charset w:val="02"/>
    <w:family w:val="auto"/>
    <w:pitch w:val="variable"/>
    <w:sig w:usb0="80000000" w:usb1="00000000" w:usb2="00000000" w:usb3="00000000" w:csb0="00000000" w:csb1="00000000"/>
  </w:font>
  <w:font w:name="方正舒体">
    <w:panose1 w:val="02010601030101010101"/>
    <w:charset w:val="86"/>
    <w:family w:val="auto"/>
    <w:pitch w:val="variable"/>
    <w:sig w:usb0="00000003" w:usb1="080E0000" w:usb2="00000000" w:usb3="00000000" w:csb0="00040000" w:csb1="00000000"/>
  </w:font>
  <w:font w:name="Imprint MT Shadow">
    <w:panose1 w:val="04020605060303030202"/>
    <w:charset w:val="00"/>
    <w:family w:val="auto"/>
    <w:pitch w:val="variable"/>
    <w:sig w:usb0="00000003" w:usb1="00000000" w:usb2="00000000" w:usb3="00000000" w:csb0="20000001" w:csb1="00000000"/>
  </w:font>
  <w:font w:name="@方正舒体">
    <w:panose1 w:val="02010601030101010101"/>
    <w:charset w:val="86"/>
    <w:family w:val="auto"/>
    <w:pitch w:val="variable"/>
    <w:sig w:usb0="00000003" w:usb1="080E0000" w:usb2="00000000" w:usb3="00000000" w:csb0="00040000" w:csb1="00000000"/>
  </w:font>
  <w:font w:name="方正姚体">
    <w:panose1 w:val="02010601030101010101"/>
    <w:charset w:val="86"/>
    <w:family w:val="auto"/>
    <w:pitch w:val="variable"/>
    <w:sig w:usb0="00000003" w:usb1="080E0000" w:usb2="00000000" w:usb3="00000000" w:csb0="00040000" w:csb1="00000000"/>
  </w:font>
  <w:font w:name="隶书">
    <w:panose1 w:val="02010509060101010101"/>
    <w:charset w:val="86"/>
    <w:family w:val="auto"/>
    <w:pitch w:val="fixed"/>
    <w:sig w:usb0="00000001" w:usb1="080E0000" w:usb2="00000000" w:usb3="00000000" w:csb0="00040000" w:csb1="00000000"/>
  </w:font>
  <w:font w:name="@隶书">
    <w:panose1 w:val="02010509060101010101"/>
    <w:charset w:val="86"/>
    <w:family w:val="auto"/>
    <w:pitch w:val="fixed"/>
    <w:sig w:usb0="00000001" w:usb1="080E0000" w:usb2="00000000" w:usb3="00000000" w:csb0="00040000" w:csb1="00000000"/>
  </w:font>
  <w:font w:name="华文彩云">
    <w:panose1 w:val="02010800040101010101"/>
    <w:charset w:val="86"/>
    <w:family w:val="auto"/>
    <w:pitch w:val="variable"/>
    <w:sig w:usb0="00000001" w:usb1="080F0000" w:usb2="00000000" w:usb3="00000000" w:csb0="00040000" w:csb1="00000000"/>
  </w:font>
  <w:font w:name="华文仿宋">
    <w:panose1 w:val="02010600040101010101"/>
    <w:charset w:val="86"/>
    <w:family w:val="auto"/>
    <w:pitch w:val="variable"/>
    <w:sig w:usb0="00000287" w:usb1="080F0000" w:usb2="00000000" w:usb3="00000000" w:csb0="0004009F" w:csb1="DFD70000"/>
  </w:font>
  <w:font w:name="@华文琥珀">
    <w:panose1 w:val="02010800040101010101"/>
    <w:charset w:val="86"/>
    <w:family w:val="auto"/>
    <w:pitch w:val="variable"/>
    <w:sig w:usb0="00000001" w:usb1="080F0000" w:usb2="00000000" w:usb3="00000000" w:csb0="00040000" w:csb1="00000000"/>
  </w:font>
  <w:font w:name="华文楷体">
    <w:panose1 w:val="02010600040101010101"/>
    <w:charset w:val="86"/>
    <w:family w:val="auto"/>
    <w:pitch w:val="variable"/>
    <w:sig w:usb0="00000287" w:usb1="080F0000" w:usb2="00000000" w:usb3="00000000" w:csb0="0004009F" w:csb1="DFD70000"/>
  </w:font>
  <w:font w:name="@华文楷体">
    <w:panose1 w:val="02010600040101010101"/>
    <w:charset w:val="86"/>
    <w:family w:val="auto"/>
    <w:pitch w:val="variable"/>
    <w:sig w:usb0="00000287" w:usb1="080F0000" w:usb2="00000000" w:usb3="00000000" w:csb0="0004009F" w:csb1="DFD70000"/>
  </w:font>
  <w:font w:name="华文隶书">
    <w:panose1 w:val="02010800040101010101"/>
    <w:charset w:val="86"/>
    <w:family w:val="auto"/>
    <w:pitch w:val="variable"/>
    <w:sig w:usb0="00000001" w:usb1="080F0000" w:usb2="00000000" w:usb3="00000000" w:csb0="00040000" w:csb1="00000000"/>
  </w:font>
  <w:font w:name="Kunstler Script">
    <w:panose1 w:val="030304020206070D0D06"/>
    <w:charset w:val="00"/>
    <w:family w:val="auto"/>
    <w:pitch w:val="variable"/>
    <w:sig w:usb0="00000003" w:usb1="00000000" w:usb2="00000000" w:usb3="00000000" w:csb0="20000001" w:csb1="00000000"/>
  </w:font>
  <w:font w:name="@华文隶书">
    <w:panose1 w:val="02010800040101010101"/>
    <w:charset w:val="86"/>
    <w:family w:val="auto"/>
    <w:pitch w:val="variable"/>
    <w:sig w:usb0="00000001" w:usb1="080F0000" w:usb2="00000000" w:usb3="00000000" w:csb0="00040000" w:csb1="00000000"/>
  </w:font>
  <w:font w:name="华文宋体">
    <w:panose1 w:val="02010600040101010101"/>
    <w:charset w:val="86"/>
    <w:family w:val="auto"/>
    <w:pitch w:val="variable"/>
    <w:sig w:usb0="00000287" w:usb1="080F0000" w:usb2="00000000" w:usb3="00000000" w:csb0="0004009F" w:csb1="DFD70000"/>
  </w:font>
  <w:font w:name="@华文宋体">
    <w:panose1 w:val="02010600040101010101"/>
    <w:charset w:val="86"/>
    <w:family w:val="auto"/>
    <w:pitch w:val="variable"/>
    <w:sig w:usb0="00000287" w:usb1="080F0000" w:usb2="00000000" w:usb3="00000000" w:csb0="0004009F" w:csb1="DFD70000"/>
  </w:font>
  <w:font w:name="华文细黑">
    <w:panose1 w:val="02010600040101010101"/>
    <w:charset w:val="86"/>
    <w:family w:val="auto"/>
    <w:pitch w:val="variable"/>
    <w:sig w:usb0="00000287" w:usb1="080F0000" w:usb2="00000000" w:usb3="00000000" w:csb0="0004009F" w:csb1="DFD70000"/>
  </w:font>
  <w:font w:name="@华文细黑">
    <w:panose1 w:val="02010600040101010101"/>
    <w:charset w:val="86"/>
    <w:family w:val="auto"/>
    <w:pitch w:val="variable"/>
    <w:sig w:usb0="00000287" w:usb1="080F0000" w:usb2="00000000" w:usb3="00000000" w:csb0="0004009F" w:csb1="DFD70000"/>
  </w:font>
  <w:font w:name="华文行楷">
    <w:panose1 w:val="02010800040101010101"/>
    <w:charset w:val="86"/>
    <w:family w:val="auto"/>
    <w:pitch w:val="variable"/>
    <w:sig w:usb0="00000001" w:usb1="080F0000" w:usb2="00000000" w:usb3="00000000" w:csb0="00040000" w:csb1="00000000"/>
  </w:font>
  <w:font w:name="@华文行楷">
    <w:panose1 w:val="02010800040101010101"/>
    <w:charset w:val="86"/>
    <w:family w:val="auto"/>
    <w:pitch w:val="variable"/>
    <w:sig w:usb0="00000001" w:usb1="080F0000" w:usb2="00000000" w:usb3="00000000" w:csb0="00040000" w:csb1="00000000"/>
  </w:font>
  <w:font w:name="华文新魏">
    <w:panose1 w:val="02010800040101010101"/>
    <w:charset w:val="86"/>
    <w:family w:val="auto"/>
    <w:pitch w:val="variable"/>
    <w:sig w:usb0="00000001" w:usb1="080F0000" w:usb2="00000000" w:usb3="00000000" w:csb0="00040000" w:csb1="00000000"/>
  </w:font>
  <w:font w:name="Tw Cen MT Condensed Extra Bold">
    <w:panose1 w:val="020B0803020202020204"/>
    <w:charset w:val="00"/>
    <w:family w:val="auto"/>
    <w:pitch w:val="variable"/>
    <w:sig w:usb0="00000003" w:usb1="00000000" w:usb2="00000000" w:usb3="00000000" w:csb0="20000003" w:csb1="00000000"/>
  </w:font>
  <w:font w:name="@华文新魏">
    <w:panose1 w:val="02010800040101010101"/>
    <w:charset w:val="86"/>
    <w:family w:val="auto"/>
    <w:pitch w:val="variable"/>
    <w:sig w:usb0="00000001" w:usb1="080F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幼圆">
    <w:panose1 w:val="02010509060101010101"/>
    <w:charset w:val="86"/>
    <w:family w:val="auto"/>
    <w:pitch w:val="fixed"/>
    <w:sig w:usb0="00000001" w:usb1="080E0000" w:usb2="00000000" w:usb3="00000000" w:csb0="00040000" w:csb1="00000000"/>
  </w:font>
  <w:font w:name="Book Antiqua">
    <w:panose1 w:val="02040602050305030304"/>
    <w:charset w:val="00"/>
    <w:family w:val="auto"/>
    <w:pitch w:val="variable"/>
    <w:sig w:usb0="00000287" w:usb1="00000000" w:usb2="00000000" w:usb3="00000000" w:csb0="2000009F" w:csb1="DFD70000"/>
  </w:font>
  <w:font w:name="Century Gothic">
    <w:panose1 w:val="020B0502020202020204"/>
    <w:charset w:val="00"/>
    <w:family w:val="auto"/>
    <w:pitch w:val="variable"/>
    <w:sig w:usb0="00000287" w:usb1="00000000" w:usb2="00000000" w:usb3="00000000" w:csb0="2000009F" w:csb1="DFD70000"/>
  </w:font>
  <w:font w:name="Monotype Corsiva">
    <w:panose1 w:val="03010101010201010101"/>
    <w:charset w:val="00"/>
    <w:family w:val="auto"/>
    <w:pitch w:val="variable"/>
    <w:sig w:usb0="00000287" w:usb1="00000000" w:usb2="00000000" w:usb3="00000000" w:csb0="2000009F" w:csb1="DFD70000"/>
  </w:font>
  <w:font w:name="Agency FB">
    <w:panose1 w:val="020B0503020202020204"/>
    <w:charset w:val="00"/>
    <w:family w:val="auto"/>
    <w:pitch w:val="variable"/>
    <w:sig w:usb0="00000003" w:usb1="00000000" w:usb2="00000000" w:usb3="00000000" w:csb0="20000001" w:csb1="00000000"/>
  </w:font>
  <w:font w:name="Arial Rounded MT Bold">
    <w:panose1 w:val="020F0704030504030204"/>
    <w:charset w:val="00"/>
    <w:family w:val="auto"/>
    <w:pitch w:val="variable"/>
    <w:sig w:usb0="00000003" w:usb1="00000000" w:usb2="00000000" w:usb3="00000000" w:csb0="20000001" w:csb1="00000000"/>
  </w:font>
  <w:font w:name="Blackadder ITC">
    <w:panose1 w:val="04020505051007020D02"/>
    <w:charset w:val="00"/>
    <w:family w:val="auto"/>
    <w:pitch w:val="variable"/>
    <w:sig w:usb0="00000003" w:usb1="00000000" w:usb2="00000000" w:usb3="00000000" w:csb0="20000001" w:csb1="00000000"/>
  </w:font>
  <w:font w:name="Perpetua">
    <w:panose1 w:val="02020502060401020303"/>
    <w:charset w:val="00"/>
    <w:family w:val="auto"/>
    <w:pitch w:val="variable"/>
    <w:sig w:usb0="00000003" w:usb1="00000000" w:usb2="00000000" w:usb3="00000000" w:csb0="00000001" w:csb1="00000000"/>
  </w:font>
  <w:font w:name="Bodoni MT Black">
    <w:panose1 w:val="02070A03080606020203"/>
    <w:charset w:val="00"/>
    <w:family w:val="auto"/>
    <w:pitch w:val="variable"/>
    <w:sig w:usb0="00000003" w:usb1="00000000" w:usb2="00000000" w:usb3="00000000" w:csb0="20000001" w:csb1="00000000"/>
  </w:font>
  <w:font w:name="Wingdings 3">
    <w:panose1 w:val="05040102010807070707"/>
    <w:charset w:val="02"/>
    <w:family w:val="auto"/>
    <w:pitch w:val="variable"/>
    <w:sig w:usb0="00000000" w:usb1="00000000" w:usb2="00000000" w:usb3="00000000" w:csb0="80000000" w:csb1="00000000"/>
  </w:font>
  <w:font w:name="Bodoni MT Condensed">
    <w:panose1 w:val="02070606080606020203"/>
    <w:charset w:val="00"/>
    <w:family w:val="auto"/>
    <w:pitch w:val="variable"/>
    <w:sig w:usb0="00000003" w:usb1="00000000" w:usb2="00000000" w:usb3="00000000" w:csb0="20000001" w:csb1="00000000"/>
  </w:font>
  <w:font w:name="Bradley Hand ITC">
    <w:panose1 w:val="03070402050302030203"/>
    <w:charset w:val="00"/>
    <w:family w:val="auto"/>
    <w:pitch w:val="variable"/>
    <w:sig w:usb0="00000003" w:usb1="00000000" w:usb2="00000000" w:usb3="00000000" w:csb0="20000001" w:csb1="00000000"/>
  </w:font>
  <w:font w:name="Castellar">
    <w:panose1 w:val="020A0402060406010301"/>
    <w:charset w:val="00"/>
    <w:family w:val="auto"/>
    <w:pitch w:val="variable"/>
    <w:sig w:usb0="00000003" w:usb1="00000000" w:usb2="00000000" w:usb3="00000000" w:csb0="20000001" w:csb1="00000000"/>
  </w:font>
  <w:font w:name="Copperplate Gothic Bold">
    <w:panose1 w:val="020E0705020206020404"/>
    <w:charset w:val="00"/>
    <w:family w:val="auto"/>
    <w:pitch w:val="variable"/>
    <w:sig w:usb0="00000003" w:usb1="00000000" w:usb2="00000000" w:usb3="00000000" w:csb0="20000001" w:csb1="00000000"/>
  </w:font>
  <w:font w:name="Jokerman">
    <w:panose1 w:val="04090605060D06020702"/>
    <w:charset w:val="00"/>
    <w:family w:val="auto"/>
    <w:pitch w:val="variable"/>
    <w:sig w:usb0="00000003" w:usb1="00000000" w:usb2="00000000" w:usb3="00000000" w:csb0="20000001" w:csb1="00000000"/>
  </w:font>
  <w:font w:name="Copperplate Gothic Light">
    <w:panose1 w:val="020E0507020206020404"/>
    <w:charset w:val="00"/>
    <w:family w:val="auto"/>
    <w:pitch w:val="variable"/>
    <w:sig w:usb0="00000003" w:usb1="00000000" w:usb2="00000000" w:usb3="00000000" w:csb0="20000001" w:csb1="00000000"/>
  </w:font>
  <w:font w:name="Curlz MT">
    <w:panose1 w:val="04040404050702020202"/>
    <w:charset w:val="00"/>
    <w:family w:val="auto"/>
    <w:pitch w:val="variable"/>
    <w:sig w:usb0="00000003" w:usb1="00000000" w:usb2="00000000" w:usb3="00000000" w:csb0="20000001" w:csb1="00000000"/>
  </w:font>
  <w:font w:name="Engravers MT">
    <w:panose1 w:val="02090707080505020304"/>
    <w:charset w:val="00"/>
    <w:family w:val="auto"/>
    <w:pitch w:val="variable"/>
    <w:sig w:usb0="00000003" w:usb1="00000000" w:usb2="00000000" w:usb3="00000000" w:csb0="20000001" w:csb1="00000000"/>
  </w:font>
  <w:font w:name="Eras Bold ITC">
    <w:panose1 w:val="020B0907030504020204"/>
    <w:charset w:val="00"/>
    <w:family w:val="auto"/>
    <w:pitch w:val="variable"/>
    <w:sig w:usb0="00000003" w:usb1="00000000" w:usb2="00000000" w:usb3="00000000" w:csb0="20000001" w:csb1="00000000"/>
  </w:font>
  <w:font w:name="Eras Demi ITC">
    <w:panose1 w:val="020B0805030504020804"/>
    <w:charset w:val="00"/>
    <w:family w:val="auto"/>
    <w:pitch w:val="variable"/>
    <w:sig w:usb0="00000003" w:usb1="00000000" w:usb2="00000000" w:usb3="00000000" w:csb0="20000001" w:csb1="00000000"/>
  </w:font>
  <w:font w:name="Eras Light ITC">
    <w:panose1 w:val="020B0402030504020804"/>
    <w:charset w:val="00"/>
    <w:family w:val="auto"/>
    <w:pitch w:val="variable"/>
    <w:sig w:usb0="00000003" w:usb1="00000000" w:usb2="00000000" w:usb3="00000000" w:csb0="20000001" w:csb1="00000000"/>
  </w:font>
  <w:font w:name="Eras Medium ITC">
    <w:panose1 w:val="020B0602030504020804"/>
    <w:charset w:val="00"/>
    <w:family w:val="auto"/>
    <w:pitch w:val="variable"/>
    <w:sig w:usb0="00000003" w:usb1="00000000" w:usb2="00000000" w:usb3="00000000" w:csb0="20000001" w:csb1="00000000"/>
  </w:font>
  <w:font w:name="Felix Titling">
    <w:panose1 w:val="04060505060202020A04"/>
    <w:charset w:val="00"/>
    <w:family w:val="auto"/>
    <w:pitch w:val="variable"/>
    <w:sig w:usb0="00000003" w:usb1="00000000" w:usb2="00000000" w:usb3="00000000" w:csb0="20000001" w:csb1="00000000"/>
  </w:font>
  <w:font w:name="Forte">
    <w:panose1 w:val="03060902040502070203"/>
    <w:charset w:val="00"/>
    <w:family w:val="auto"/>
    <w:pitch w:val="variable"/>
    <w:sig w:usb0="00000003" w:usb1="00000000" w:usb2="00000000" w:usb3="00000000" w:csb0="20000001" w:csb1="00000000"/>
  </w:font>
  <w:font w:name="Franklin Gothic Book">
    <w:panose1 w:val="020B0503020102020204"/>
    <w:charset w:val="00"/>
    <w:family w:val="auto"/>
    <w:pitch w:val="variable"/>
    <w:sig w:usb0="00000287" w:usb1="00000000" w:usb2="00000000" w:usb3="00000000" w:csb0="2000009F" w:csb1="DFD70000"/>
  </w:font>
  <w:font w:name="Franklin Gothic Demi">
    <w:panose1 w:val="020B0703020102020204"/>
    <w:charset w:val="00"/>
    <w:family w:val="auto"/>
    <w:pitch w:val="variable"/>
    <w:sig w:usb0="00000287" w:usb1="00000000" w:usb2="00000000" w:usb3="00000000" w:csb0="2000009F" w:csb1="DFD70000"/>
  </w:font>
  <w:font w:name="Franklin Gothic Demi Cond">
    <w:panose1 w:val="020B0706030402020204"/>
    <w:charset w:val="00"/>
    <w:family w:val="auto"/>
    <w:pitch w:val="variable"/>
    <w:sig w:usb0="00000287" w:usb1="00000000" w:usb2="00000000" w:usb3="00000000" w:csb0="2000009F" w:csb1="DFD70000"/>
  </w:font>
  <w:font w:name="Footlight MT Light">
    <w:panose1 w:val="0204060206030A020304"/>
    <w:charset w:val="00"/>
    <w:family w:val="auto"/>
    <w:pitch w:val="variable"/>
    <w:sig w:usb0="00000003" w:usb1="00000000" w:usb2="00000000" w:usb3="00000000" w:csb0="20000001" w:csb1="00000000"/>
  </w:font>
  <w:font w:name="Franklin Gothic Medium Cond">
    <w:panose1 w:val="020B0606030402020204"/>
    <w:charset w:val="00"/>
    <w:family w:val="auto"/>
    <w:pitch w:val="variable"/>
    <w:sig w:usb0="00000287" w:usb1="00000000" w:usb2="00000000" w:usb3="00000000" w:csb0="2000009F" w:csb1="DFD70000"/>
  </w:font>
  <w:font w:name="French Script MT">
    <w:panose1 w:val="03020402040607040605"/>
    <w:charset w:val="00"/>
    <w:family w:val="auto"/>
    <w:pitch w:val="variable"/>
    <w:sig w:usb0="00000003" w:usb1="00000000" w:usb2="00000000" w:usb3="00000000" w:csb0="20000001" w:csb1="00000000"/>
  </w:font>
  <w:font w:name="Gill Sans MT Condensed">
    <w:panose1 w:val="020B0506020104020203"/>
    <w:charset w:val="00"/>
    <w:family w:val="auto"/>
    <w:pitch w:val="variable"/>
    <w:sig w:usb0="00000003" w:usb1="00000000" w:usb2="00000000" w:usb3="00000000" w:csb0="20000003" w:csb1="00000000"/>
  </w:font>
  <w:font w:name="Gloucester MT Extra Condensed">
    <w:panose1 w:val="02030808020601010101"/>
    <w:charset w:val="00"/>
    <w:family w:val="auto"/>
    <w:pitch w:val="variable"/>
    <w:sig w:usb0="00000003" w:usb1="00000000" w:usb2="00000000" w:usb3="00000000" w:csb0="20000001" w:csb1="00000000"/>
  </w:font>
  <w:font w:name="Goudy Old Style">
    <w:panose1 w:val="02020502050305020303"/>
    <w:charset w:val="00"/>
    <w:family w:val="auto"/>
    <w:pitch w:val="variable"/>
    <w:sig w:usb0="00000003" w:usb1="00000000" w:usb2="00000000" w:usb3="00000000" w:csb0="20000001" w:csb1="00000000"/>
  </w:font>
  <w:font w:name="Goudy Stout">
    <w:panose1 w:val="0202090407030B020401"/>
    <w:charset w:val="00"/>
    <w:family w:val="auto"/>
    <w:pitch w:val="variable"/>
    <w:sig w:usb0="00000003" w:usb1="00000000" w:usb2="00000000" w:usb3="00000000" w:csb0="20000001" w:csb1="00000000"/>
  </w:font>
  <w:font w:name="Lucida Sans">
    <w:panose1 w:val="020B0602030504020204"/>
    <w:charset w:val="00"/>
    <w:family w:val="auto"/>
    <w:pitch w:val="variable"/>
    <w:sig w:usb0="00000003" w:usb1="00000000" w:usb2="00000000" w:usb3="00000000" w:csb0="20000001" w:csb1="00000000"/>
  </w:font>
  <w:font w:name="Lucida Sans Typewriter">
    <w:panose1 w:val="020B0509030504030204"/>
    <w:charset w:val="00"/>
    <w:family w:val="auto"/>
    <w:pitch w:val="fixed"/>
    <w:sig w:usb0="00000003" w:usb1="00000000" w:usb2="00000000" w:usb3="00000000" w:csb0="20000001" w:csb1="00000000"/>
  </w:font>
  <w:font w:name="Freestyle Script">
    <w:panose1 w:val="030804020302050B0404"/>
    <w:charset w:val="00"/>
    <w:family w:val="auto"/>
    <w:pitch w:val="variable"/>
    <w:sig w:usb0="00000003" w:usb1="00000000" w:usb2="00000000" w:usb3="00000000" w:csb0="20000001" w:csb1="00000000"/>
  </w:font>
  <w:font w:name="Palace Script MT">
    <w:panose1 w:val="030303020206070C0B05"/>
    <w:charset w:val="00"/>
    <w:family w:val="auto"/>
    <w:pitch w:val="variable"/>
    <w:sig w:usb0="00000003" w:usb1="00000000" w:usb2="00000000" w:usb3="00000000" w:csb0="20000001" w:csb1="00000000"/>
  </w:font>
  <w:font w:name="Rage Italic">
    <w:panose1 w:val="03070502040507070304"/>
    <w:charset w:val="00"/>
    <w:family w:val="auto"/>
    <w:pitch w:val="variable"/>
    <w:sig w:usb0="00000003" w:usb1="00000000" w:usb2="00000000" w:usb3="00000000" w:csb0="20000001" w:csb1="00000000"/>
  </w:font>
  <w:font w:name="Rockwell">
    <w:panose1 w:val="02060603020205020403"/>
    <w:charset w:val="00"/>
    <w:family w:val="auto"/>
    <w:pitch w:val="variable"/>
    <w:sig w:usb0="00000003" w:usb1="00000000" w:usb2="00000000" w:usb3="00000000" w:csb0="20000001" w:csb1="00000000"/>
  </w:font>
  <w:font w:name="Colonna MT">
    <w:panose1 w:val="04020805060202030203"/>
    <w:charset w:val="00"/>
    <w:family w:val="auto"/>
    <w:pitch w:val="variable"/>
    <w:sig w:usb0="00000003" w:usb1="00000000" w:usb2="00000000" w:usb3="00000000" w:csb0="20000001" w:csb1="00000000"/>
  </w:font>
  <w:font w:name="Rockwell Condensed">
    <w:panose1 w:val="02060603050405020104"/>
    <w:charset w:val="00"/>
    <w:family w:val="auto"/>
    <w:pitch w:val="variable"/>
    <w:sig w:usb0="00000003" w:usb1="00000000" w:usb2="00000000" w:usb3="00000000" w:csb0="20000001" w:csb1="00000000"/>
  </w:font>
  <w:font w:name="Rockwell Extra Bold">
    <w:panose1 w:val="02060903040505020403"/>
    <w:charset w:val="00"/>
    <w:family w:val="auto"/>
    <w:pitch w:val="variable"/>
    <w:sig w:usb0="00000003" w:usb1="00000000" w:usb2="00000000" w:usb3="00000000" w:csb0="20000001" w:csb1="00000000"/>
  </w:font>
  <w:font w:name="Vladimir Script">
    <w:panose1 w:val="03050402040407070305"/>
    <w:charset w:val="00"/>
    <w:family w:val="auto"/>
    <w:pitch w:val="variable"/>
    <w:sig w:usb0="00000003" w:usb1="00000000" w:usb2="00000000" w:usb3="00000000" w:csb0="20000001" w:csb1="00000000"/>
  </w:font>
  <w:font w:name="Script MT Bold">
    <w:panose1 w:val="03040602040607080904"/>
    <w:charset w:val="00"/>
    <w:family w:val="auto"/>
    <w:pitch w:val="variable"/>
    <w:sig w:usb0="00000003" w:usb1="00000000" w:usb2="00000000" w:usb3="00000000" w:csb0="20000001" w:csb1="00000000"/>
  </w:font>
  <w:font w:name="Tw Cen MT">
    <w:panose1 w:val="020B0602020104020603"/>
    <w:charset w:val="00"/>
    <w:family w:val="auto"/>
    <w:pitch w:val="variable"/>
    <w:sig w:usb0="00000003" w:usb1="00000000" w:usb2="00000000" w:usb3="00000000" w:csb0="20000003" w:csb1="00000000"/>
  </w:font>
  <w:font w:name="Tw Cen MT Condensed">
    <w:panose1 w:val="020B0606020104020203"/>
    <w:charset w:val="00"/>
    <w:family w:val="auto"/>
    <w:pitch w:val="variable"/>
    <w:sig w:usb0="00000003" w:usb1="00000000" w:usb2="00000000" w:usb3="00000000" w:csb0="20000003" w:csb1="00000000"/>
  </w:font>
  <w:font w:name="Algerian">
    <w:panose1 w:val="04020705040A02060702"/>
    <w:charset w:val="00"/>
    <w:family w:val="auto"/>
    <w:pitch w:val="variable"/>
    <w:sig w:usb0="00000003" w:usb1="00000000" w:usb2="00000000" w:usb3="00000000" w:csb0="20000001" w:csb1="00000000"/>
  </w:font>
  <w:font w:name="Baskerville Old Face">
    <w:panose1 w:val="02020602080505020303"/>
    <w:charset w:val="00"/>
    <w:family w:val="auto"/>
    <w:pitch w:val="variable"/>
    <w:sig w:usb0="00000003" w:usb1="00000000" w:usb2="00000000" w:usb3="00000000" w:csb0="20000001" w:csb1="00000000"/>
  </w:font>
  <w:font w:name="Berlin Sans FB Demi">
    <w:panose1 w:val="020E0802020502020306"/>
    <w:charset w:val="00"/>
    <w:family w:val="auto"/>
    <w:pitch w:val="variable"/>
    <w:sig w:usb0="00000003" w:usb1="00000000" w:usb2="00000000" w:usb3="00000000" w:csb0="20000001" w:csb1="00000000"/>
  </w:font>
  <w:font w:name="Britannic Bold">
    <w:panose1 w:val="020B0903060703020204"/>
    <w:charset w:val="00"/>
    <w:family w:val="auto"/>
    <w:pitch w:val="variable"/>
    <w:sig w:usb0="00000003" w:usb1="00000000" w:usb2="00000000" w:usb3="00000000" w:csb0="20000001" w:csb1="00000000"/>
  </w:font>
  <w:font w:name="Brush Script MT">
    <w:panose1 w:val="03060802040406070304"/>
    <w:charset w:val="00"/>
    <w:family w:val="auto"/>
    <w:pitch w:val="variable"/>
    <w:sig w:usb0="00000003" w:usb1="00000000" w:usb2="00000000" w:usb3="00000000" w:csb0="20000001" w:csb1="00000000"/>
  </w:font>
  <w:font w:name="Centaur">
    <w:panose1 w:val="02030504050205020304"/>
    <w:charset w:val="00"/>
    <w:family w:val="auto"/>
    <w:pitch w:val="variable"/>
    <w:sig w:usb0="00000003" w:usb1="00000000" w:usb2="00000000" w:usb3="00000000" w:csb0="20000001" w:csb1="00000000"/>
  </w:font>
  <w:font w:name="Chiller">
    <w:panose1 w:val="04020404031007020602"/>
    <w:charset w:val="00"/>
    <w:family w:val="auto"/>
    <w:pitch w:val="variable"/>
    <w:sig w:usb0="00000003" w:usb1="00000000" w:usb2="00000000" w:usb3="00000000" w:csb0="20000001" w:csb1="00000000"/>
  </w:font>
  <w:font w:name="Cooper Black">
    <w:panose1 w:val="0208090404030B020404"/>
    <w:charset w:val="00"/>
    <w:family w:val="auto"/>
    <w:pitch w:val="variable"/>
    <w:sig w:usb0="00000003" w:usb1="00000000" w:usb2="00000000" w:usb3="00000000" w:csb0="20000001" w:csb1="00000000"/>
  </w:font>
  <w:font w:name="High Tower Text">
    <w:panose1 w:val="02040502050506030303"/>
    <w:charset w:val="00"/>
    <w:family w:val="auto"/>
    <w:pitch w:val="variable"/>
    <w:sig w:usb0="00000003" w:usb1="00000000" w:usb2="00000000" w:usb3="00000000" w:csb0="20000001" w:csb1="00000000"/>
  </w:font>
  <w:font w:name="Lucida Fax">
    <w:panose1 w:val="02060602050505020204"/>
    <w:charset w:val="00"/>
    <w:family w:val="auto"/>
    <w:pitch w:val="variable"/>
    <w:sig w:usb0="00000003" w:usb1="00000000" w:usb2="00000000" w:usb3="00000000" w:csb0="20000001" w:csb1="00000000"/>
  </w:font>
  <w:font w:name="Lucida Handwriting">
    <w:panose1 w:val="03010101010101010101"/>
    <w:charset w:val="00"/>
    <w:family w:val="auto"/>
    <w:pitch w:val="variable"/>
    <w:sig w:usb0="00000003" w:usb1="00000000" w:usb2="00000000" w:usb3="00000000" w:csb0="20000001" w:csb1="00000000"/>
  </w:font>
  <w:font w:name="Magneto">
    <w:panose1 w:val="04030805050802020D02"/>
    <w:charset w:val="00"/>
    <w:family w:val="auto"/>
    <w:pitch w:val="variable"/>
    <w:sig w:usb0="00000003" w:usb1="00000000" w:usb2="00000000" w:usb3="00000000" w:csb0="20000001" w:csb1="00000000"/>
  </w:font>
  <w:font w:name="Matura MT Script Capitals">
    <w:panose1 w:val="03020802060602070202"/>
    <w:charset w:val="00"/>
    <w:family w:val="auto"/>
    <w:pitch w:val="variable"/>
    <w:sig w:usb0="00000003" w:usb1="00000000" w:usb2="00000000" w:usb3="00000000" w:csb0="20000001" w:csb1="00000000"/>
  </w:font>
  <w:font w:name="Mistral">
    <w:panose1 w:val="03090702030407020403"/>
    <w:charset w:val="00"/>
    <w:family w:val="auto"/>
    <w:pitch w:val="variable"/>
    <w:sig w:usb0="00000287" w:usb1="00000000" w:usb2="00000000" w:usb3="00000000" w:csb0="2000009F" w:csb1="DFD70000"/>
  </w:font>
  <w:font w:name="Niagara Engraved">
    <w:panose1 w:val="04020502070703030202"/>
    <w:charset w:val="00"/>
    <w:family w:val="auto"/>
    <w:pitch w:val="variable"/>
    <w:sig w:usb0="00000003" w:usb1="00000000" w:usb2="00000000" w:usb3="00000000" w:csb0="20000001" w:csb1="00000000"/>
  </w:font>
  <w:font w:name="Parchment">
    <w:panose1 w:val="03040602040708040804"/>
    <w:charset w:val="00"/>
    <w:family w:val="auto"/>
    <w:pitch w:val="variable"/>
    <w:sig w:usb0="00000003" w:usb1="00000000" w:usb2="00000000" w:usb3="00000000" w:csb0="20000001" w:csb1="00000000"/>
  </w:font>
  <w:font w:name="Old English Text MT">
    <w:panose1 w:val="03040902040508030806"/>
    <w:charset w:val="00"/>
    <w:family w:val="auto"/>
    <w:pitch w:val="variable"/>
    <w:sig w:usb0="00000003" w:usb1="00000000" w:usb2="00000000" w:usb3="00000000" w:csb0="20000001" w:csb1="00000000"/>
  </w:font>
  <w:font w:name="Onyx">
    <w:panose1 w:val="04050602080702020203"/>
    <w:charset w:val="00"/>
    <w:family w:val="auto"/>
    <w:pitch w:val="variable"/>
    <w:sig w:usb0="00000003" w:usb1="00000000" w:usb2="00000000" w:usb3="00000000" w:csb0="20000001" w:csb1="00000000"/>
  </w:font>
  <w:font w:name="Poor Richard">
    <w:panose1 w:val="02080502050505020702"/>
    <w:charset w:val="00"/>
    <w:family w:val="auto"/>
    <w:pitch w:val="variable"/>
    <w:sig w:usb0="00000003" w:usb1="00000000" w:usb2="00000000" w:usb3="00000000" w:csb0="20000001" w:csb1="00000000"/>
  </w:font>
  <w:font w:name="Showcard Gothic">
    <w:panose1 w:val="04020904020102020604"/>
    <w:charset w:val="00"/>
    <w:family w:val="auto"/>
    <w:pitch w:val="variable"/>
    <w:sig w:usb0="00000003" w:usb1="00000000" w:usb2="00000000" w:usb3="00000000" w:csb0="20000001" w:csb1="00000000"/>
  </w:font>
  <w:font w:name="Snap ITC">
    <w:panose1 w:val="04040A07060A02020202"/>
    <w:charset w:val="00"/>
    <w:family w:val="auto"/>
    <w:pitch w:val="variable"/>
    <w:sig w:usb0="00000003" w:usb1="00000000" w:usb2="00000000" w:usb3="00000000" w:csb0="20000001" w:csb1="00000000"/>
  </w:font>
  <w:font w:name="Tempus Sans ITC">
    <w:panose1 w:val="04020404030D07020202"/>
    <w:charset w:val="00"/>
    <w:family w:val="auto"/>
    <w:pitch w:val="variable"/>
    <w:sig w:usb0="00000003" w:usb1="00000000" w:usb2="00000000" w:usb3="00000000" w:csb0="20000001" w:csb1="00000000"/>
  </w:font>
  <w:font w:name="Viner Hand ITC">
    <w:panose1 w:val="03070502030502020203"/>
    <w:charset w:val="00"/>
    <w:family w:val="auto"/>
    <w:pitch w:val="variable"/>
    <w:sig w:usb0="00000003" w:usb1="00000000" w:usb2="00000000" w:usb3="00000000" w:csb0="20000001" w:csb1="00000000"/>
  </w:font>
  <w:font w:name="Vivaldi">
    <w:panose1 w:val="03020602050506090804"/>
    <w:charset w:val="00"/>
    <w:family w:val="auto"/>
    <w:pitch w:val="variable"/>
    <w:sig w:usb0="00000003" w:usb1="00000000" w:usb2="00000000" w:usb3="00000000" w:csb0="20000001" w:csb1="00000000"/>
  </w:font>
  <w:font w:name="@Arial Unicode MS">
    <w:panose1 w:val="020B0604020202020204"/>
    <w:charset w:val="86"/>
    <w:family w:val="auto"/>
    <w:pitch w:val="variable"/>
    <w:sig w:usb0="FFFFFFFF" w:usb1="E9FFFFFF" w:usb2="0000003F" w:usb3="00000000" w:csb0="603F01FF" w:csb1="FFFF0000"/>
  </w:font>
  <w:font w:name="@方正粗黑宋简体">
    <w:panose1 w:val="02000000000000000000"/>
    <w:charset w:val="86"/>
    <w:family w:val="auto"/>
    <w:pitch w:val="variable"/>
    <w:sig w:usb0="A00002BF" w:usb1="184F6CFA" w:usb2="00000012" w:usb3="00000000" w:csb0="0004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00"/>
    <w:family w:val="auto"/>
    <w:pitch w:val="variable"/>
    <w:sig w:usb0="00000287" w:usb1="00000000" w:usb2="00000000" w:usb3="00000000" w:csb0="2000019F" w:csb1="00000000"/>
  </w:font>
  <w:font w:name="@仿宋_GB2312">
    <w:panose1 w:val="02010609030101010101"/>
    <w:charset w:val="86"/>
    <w:family w:val="auto"/>
    <w:pitch w:val="fixed"/>
    <w:sig w:usb0="00000001" w:usb1="080E0000" w:usb2="0000000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511F5"/>
    <w:multiLevelType w:val="multilevel"/>
    <w:tmpl w:val="429511F5"/>
    <w:lvl w:ilvl="0" w:tentative="0">
      <w:start w:val="18"/>
      <w:numFmt w:val="chineseCounting"/>
      <w:suff w:val="space"/>
      <w:lvlText w:val="第%1条"/>
      <w:lvlJc w:val="left"/>
      <w:pPr>
        <w:ind w:left="0" w:firstLine="0"/>
      </w:pPr>
      <w:rPr>
        <w:rFonts w:cs="Times New Roman"/>
        <w:b/>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55FAB"/>
    <w:rsid w:val="0675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widowControl w:val="0"/>
      <w:suppressLineNumbers w:val="0"/>
      <w:autoSpaceDE w:val="0"/>
      <w:autoSpaceDN w:val="0"/>
      <w:adjustRightInd w:val="0"/>
      <w:spacing w:before="340" w:beforeAutospacing="0" w:after="330" w:afterAutospacing="0" w:line="576" w:lineRule="auto"/>
      <w:ind w:left="0" w:right="0"/>
      <w:jc w:val="left"/>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link w:val="20"/>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ascii="Arial" w:hAnsi="Arial" w:eastAsia="黑体" w:cs="Times New Roman"/>
      <w:b/>
      <w:kern w:val="2"/>
      <w:sz w:val="32"/>
      <w:szCs w:val="32"/>
      <w:lang w:val="en-US" w:eastAsia="zh-CN" w:bidi="ar"/>
    </w:rPr>
  </w:style>
  <w:style w:type="character" w:default="1" w:styleId="10">
    <w:name w:val="Default Paragraph Font"/>
    <w:semiHidden/>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link w:val="23"/>
    <w:uiPriority w:val="0"/>
    <w:pPr>
      <w:keepNext w:val="0"/>
      <w:keepLines w:val="0"/>
      <w:widowControl w:val="0"/>
      <w:suppressLineNumbers w:val="0"/>
      <w:autoSpaceDE w:val="0"/>
      <w:autoSpaceDN w:val="0"/>
      <w:adjustRightInd w:val="0"/>
      <w:spacing w:before="0" w:beforeAutospacing="0" w:after="0" w:afterAutospacing="0"/>
      <w:ind w:left="112" w:right="0"/>
      <w:jc w:val="left"/>
    </w:pPr>
    <w:rPr>
      <w:rFonts w:hint="eastAsia" w:ascii="Microsoft JhengHei" w:hAnsi="Times New Roman" w:eastAsia="Microsoft JhengHei" w:cs="Microsoft JhengHei"/>
      <w:kern w:val="0"/>
      <w:sz w:val="22"/>
      <w:szCs w:val="22"/>
      <w:lang w:val="en-US" w:eastAsia="zh-CN" w:bidi="ar"/>
    </w:rPr>
  </w:style>
  <w:style w:type="paragraph" w:styleId="5">
    <w:name w:val="Plain Text"/>
    <w:basedOn w:val="1"/>
    <w:link w:val="15"/>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6">
    <w:name w:val="footer"/>
    <w:basedOn w:val="1"/>
    <w:link w:val="18"/>
    <w:uiPriority w:val="0"/>
    <w:pPr>
      <w:tabs>
        <w:tab w:val="center" w:pos="4153"/>
        <w:tab w:val="right" w:pos="8306"/>
      </w:tabs>
      <w:snapToGrid w:val="0"/>
      <w:jc w:val="left"/>
    </w:pPr>
    <w:rPr>
      <w:sz w:val="18"/>
    </w:rPr>
  </w:style>
  <w:style w:type="paragraph" w:styleId="7">
    <w:name w:val="header"/>
    <w:basedOn w:val="1"/>
    <w:link w:val="1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1">
    <w:name w:val="Strong"/>
    <w:basedOn w:val="10"/>
    <w:qFormat/>
    <w:uiPriority w:val="0"/>
    <w:rPr>
      <w:b/>
    </w:rPr>
  </w:style>
  <w:style w:type="character" w:styleId="12">
    <w:name w:val="FollowedHyperlink"/>
    <w:basedOn w:val="10"/>
    <w:uiPriority w:val="0"/>
    <w:rPr>
      <w:color w:val="800080"/>
      <w:u w:val="single"/>
    </w:rPr>
  </w:style>
  <w:style w:type="character" w:styleId="13">
    <w:name w:val="Hyperlink"/>
    <w:basedOn w:val="10"/>
    <w:uiPriority w:val="0"/>
    <w:rPr>
      <w:color w:val="454545"/>
      <w:u w:val="none"/>
    </w:rPr>
  </w:style>
  <w:style w:type="paragraph" w:customStyle="1" w:styleId="14">
    <w:name w:val="样式 标题 1 +"/>
    <w:basedOn w:val="2"/>
    <w:uiPriority w:val="0"/>
    <w:pPr>
      <w:keepNext/>
      <w:keepLines/>
      <w:widowControl w:val="0"/>
      <w:suppressLineNumbers w:val="0"/>
      <w:spacing w:before="340" w:beforeAutospacing="0" w:after="330" w:afterAutospacing="0" w:line="576" w:lineRule="auto"/>
      <w:ind w:left="0" w:right="0"/>
      <w:jc w:val="center"/>
      <w:outlineLvl w:val="0"/>
    </w:pPr>
    <w:rPr>
      <w:rFonts w:hint="default" w:ascii="Times New Roman" w:hAnsi="Times New Roman" w:eastAsia="宋体" w:cs="Times New Roman"/>
      <w:kern w:val="0"/>
      <w:sz w:val="36"/>
      <w:szCs w:val="36"/>
      <w:lang w:val="en-US" w:eastAsia="zh-CN" w:bidi="ar"/>
    </w:rPr>
  </w:style>
  <w:style w:type="character" w:customStyle="1" w:styleId="15">
    <w:name w:val="纯文本 Char"/>
    <w:basedOn w:val="10"/>
    <w:link w:val="5"/>
    <w:uiPriority w:val="0"/>
    <w:rPr>
      <w:rFonts w:hint="eastAsia" w:ascii="宋体" w:hAnsi="Courier New" w:eastAsia="宋体" w:cs="Courier New"/>
      <w:kern w:val="2"/>
      <w:sz w:val="21"/>
      <w:szCs w:val="21"/>
    </w:rPr>
  </w:style>
  <w:style w:type="character" w:customStyle="1" w:styleId="16">
    <w:name w:val="标题 1 Char"/>
    <w:basedOn w:val="10"/>
    <w:link w:val="2"/>
    <w:uiPriority w:val="0"/>
    <w:rPr>
      <w:rFonts w:hint="default" w:ascii="Times New Roman" w:hAnsi="Times New Roman" w:cs="Times New Roman"/>
      <w:b/>
      <w:kern w:val="44"/>
      <w:sz w:val="44"/>
      <w:szCs w:val="44"/>
    </w:rPr>
  </w:style>
  <w:style w:type="character" w:customStyle="1" w:styleId="17">
    <w:name w:val="页眉 Char"/>
    <w:basedOn w:val="10"/>
    <w:link w:val="7"/>
    <w:uiPriority w:val="0"/>
    <w:rPr>
      <w:kern w:val="2"/>
      <w:sz w:val="18"/>
      <w:szCs w:val="18"/>
    </w:rPr>
  </w:style>
  <w:style w:type="character" w:customStyle="1" w:styleId="18">
    <w:name w:val="页脚 Char"/>
    <w:basedOn w:val="10"/>
    <w:link w:val="6"/>
    <w:uiPriority w:val="0"/>
    <w:rPr>
      <w:rFonts w:hint="default" w:ascii="Times New Roman" w:hAnsi="Times New Roman" w:cs="Times New Roman"/>
      <w:kern w:val="2"/>
      <w:sz w:val="18"/>
      <w:szCs w:val="18"/>
    </w:rPr>
  </w:style>
  <w:style w:type="paragraph" w:customStyle="1" w:styleId="19">
    <w:name w:val="黑体居中"/>
    <w:basedOn w:val="1"/>
    <w:uiPriority w:val="0"/>
    <w:pPr>
      <w:keepNext/>
      <w:keepLines w:val="0"/>
      <w:widowControl w:val="0"/>
      <w:suppressLineNumbers w:val="0"/>
      <w:spacing w:before="0" w:beforeAutospacing="0" w:after="0" w:afterAutospacing="0"/>
      <w:ind w:left="0" w:right="0"/>
      <w:jc w:val="center"/>
    </w:pPr>
    <w:rPr>
      <w:rFonts w:hint="eastAsia" w:ascii="黑体" w:hAnsi="Times New Roman" w:eastAsia="黑体" w:cs="Times New Roman"/>
      <w:kern w:val="2"/>
      <w:sz w:val="23"/>
      <w:szCs w:val="22"/>
      <w:lang w:val="en-US" w:eastAsia="zh-CN" w:bidi="ar"/>
    </w:rPr>
  </w:style>
  <w:style w:type="character" w:customStyle="1" w:styleId="20">
    <w:name w:val="标题 2 Char"/>
    <w:basedOn w:val="10"/>
    <w:link w:val="3"/>
    <w:uiPriority w:val="0"/>
    <w:rPr>
      <w:rFonts w:hint="default" w:ascii="Arial" w:hAnsi="Arial" w:eastAsia="黑体" w:cs="Arial"/>
      <w:b/>
      <w:kern w:val="2"/>
      <w:sz w:val="32"/>
      <w:szCs w:val="32"/>
    </w:rPr>
  </w:style>
  <w:style w:type="character" w:customStyle="1" w:styleId="21">
    <w:name w:val="font31"/>
    <w:basedOn w:val="10"/>
    <w:uiPriority w:val="0"/>
    <w:rPr>
      <w:rFonts w:hint="eastAsia" w:ascii="仿宋_GB2312" w:eastAsia="仿宋_GB2312" w:cs="仿宋_GB2312"/>
      <w:color w:val="000000"/>
      <w:sz w:val="22"/>
      <w:szCs w:val="22"/>
      <w:u w:val="none"/>
    </w:rPr>
  </w:style>
  <w:style w:type="paragraph" w:customStyle="1" w:styleId="22">
    <w:name w:val="p0"/>
    <w:basedOn w:val="1"/>
    <w:uiPriority w:val="0"/>
    <w:pPr>
      <w:keepNext w:val="0"/>
      <w:keepLines w:val="0"/>
      <w:widowControl/>
      <w:suppressLineNumbers w:val="0"/>
      <w:spacing w:before="0" w:beforeAutospacing="1" w:after="0" w:afterAutospacing="1" w:line="260" w:lineRule="atLeast"/>
      <w:ind w:left="0" w:right="0"/>
      <w:jc w:val="left"/>
    </w:pPr>
    <w:rPr>
      <w:rFonts w:hint="eastAsia" w:ascii="宋体" w:hAnsi="宋体" w:eastAsia="宋体" w:cs="宋体"/>
      <w:kern w:val="0"/>
      <w:sz w:val="24"/>
      <w:szCs w:val="24"/>
      <w:lang w:val="en-US" w:eastAsia="zh-CN" w:bidi="ar"/>
    </w:rPr>
  </w:style>
  <w:style w:type="character" w:customStyle="1" w:styleId="23">
    <w:name w:val="正文文本 Char"/>
    <w:basedOn w:val="10"/>
    <w:link w:val="4"/>
    <w:uiPriority w:val="0"/>
    <w:rPr>
      <w:rFonts w:hint="eastAsia" w:ascii="Microsoft JhengHei" w:hAnsi="Times New Roman" w:eastAsia="Microsoft JhengHei" w:cs="Microsoft JhengHei"/>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2021-03-19T02:49:00Z</dcterms:created>
  <dc:creator>Administrator</dc:creator>
  <cp:lastModifiedBy>Administrator</cp:lastModifiedBy>
  <dcterms:modified xsi:type="dcterms:W3CDTF">2021-03-19T02:53:30Z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